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BGebG — Sachliche Gebührenfreiheit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Gebühren werden nicht erhoben</w:t>
      </w:r>
    </w:p>
    <w:p>
      <w:pPr>
        <w:ind w:left="420"/>
      </w:pPr>
      <w:r>
        <w:t xml:space="preserve">1. für mündliche, einfache schriftliche oder elektronische Auskünfte,</w:t>
      </w:r>
    </w:p>
    <w:p>
      <w:pPr>
        <w:ind w:left="420"/>
      </w:pPr>
      <w:r>
        <w:t xml:space="preserve">2. für einfache Auskünfte aus Registern und Dateien,</w:t>
      </w:r>
    </w:p>
    <w:p>
      <w:pPr>
        <w:ind w:left="420"/>
      </w:pPr>
      <w:r>
        <w:t xml:space="preserve">3. für einfache elektronische Kopien,</w:t>
      </w:r>
    </w:p>
    <w:p>
      <w:pPr>
        <w:ind w:left="420"/>
      </w:pPr>
      <w:r>
        <w:t xml:space="preserve">4. in Gnadensachen,</w:t>
      </w:r>
    </w:p>
    <w:p>
      <w:pPr>
        <w:ind w:left="420"/>
      </w:pPr>
      <w:r>
        <w:t xml:space="preserve">5. bei Dienstaufsichtsbeschwerden,</w:t>
      </w:r>
    </w:p>
    <w:p>
      <w:pPr>
        <w:ind w:left="420"/>
      </w:pPr>
      <w:r>
        <w:t xml:space="preserve">6. für Maßnahmen der Rechts- und Fachaufsicht gegenüber bundesunmittelbaren Körperschaften, Anstalten und Stiftungen des öffentlichen Rechts,</w:t>
      </w:r>
    </w:p>
    <w:p>
      <w:pPr>
        <w:ind w:left="420"/>
      </w:pPr>
      <w:r>
        <w:t xml:space="preserve">7. im Rahmen eines bestehenden oder früheren Dienst- oder Amtsverhältnisses,</w:t>
      </w:r>
    </w:p>
    <w:p>
      <w:pPr>
        <w:ind w:left="420"/>
      </w:pPr>
      <w:r>
        <w:t xml:space="preserve">8. im Rahmen einer bestehenden oder früheren gesetzlichen Dienstpflicht oder einer Tätigkeit, die anstelle der gesetzlichen Dienstpflicht geleistet werden kann,</w:t>
      </w:r>
    </w:p>
    <w:p>
      <w:pPr>
        <w:ind w:left="420"/>
      </w:pPr>
      <w:r>
        <w:t xml:space="preserve">9. für Entscheidungen im Rahmen der Bewilligung von Geldleistungen sowie für in diesem Zusammenhang erforderliche Abwicklungsmaßnahmen und Durchführungskontrollen,</w:t>
      </w:r>
    </w:p>
    <w:p>
      <w:pPr>
        <w:ind w:left="420"/>
      </w:pPr>
      <w:r>
        <w:t xml:space="preserve">10. für Entscheidungen über Stundung, Erlass oder Erstattung von Gebühren,</w:t>
      </w:r>
    </w:p>
    <w:p>
      <w:pPr>
        <w:ind w:left="420"/>
      </w:pPr>
      <w:r>
        <w:t xml:space="preserve">11. für Sachen im Gemeingebrauch, soweit in Gesetzen des Bundes nichts anderes bestimmt ist.</w:t>
      </w:r>
    </w:p>
    <w:p>
      <w:r>
        <w:rPr>
          <w:color w:val="555555"/>
          <w:sz w:val="17"/>
        </w:rPr>
        <w:t xml:space="preserve">Zitiervorschlag: § 7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