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BGebG — Gebührenschuldner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Zahlung von Gebühren ist derjenige verpflichtet,</w:t>
      </w:r>
    </w:p>
    <w:p>
      <w:pPr>
        <w:ind w:left="420"/>
      </w:pPr>
      <w:r>
        <w:t xml:space="preserve">1. dem die öffentliche Leistung individuell zurechenbar ist,</w:t>
      </w:r>
    </w:p>
    <w:p>
      <w:pPr>
        <w:ind w:left="420"/>
      </w:pPr>
      <w:r>
        <w:t xml:space="preserve">2. der die Gebührenschuld eines anderen durch eine gegenüber der Behörde abgegebene oder ihr mitgeteilte Erklärung übernommen hat oder</w:t>
      </w:r>
    </w:p>
    <w:p>
      <w:pPr>
        <w:ind w:left="420"/>
      </w:pPr>
      <w:r>
        <w:t xml:space="preserve">3. der für die Gebührenschuld eines anderen kraft Gesetzes haftet.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6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