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BGebG — Gebührengläubiger</w:t>
      </w:r>
    </w:p>
    <w:p>
      <w:r>
        <w:rPr>
          <w:color w:val="555555"/>
          <w:sz w:val="18"/>
        </w:rPr>
        <w:t xml:space="preserve">Bundesgebührengesetz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Gebührengläubiger ist</w:t>
      </w:r>
    </w:p>
    <w:p>
      <w:pPr>
        <w:ind w:left="420"/>
      </w:pPr>
      <w:r>
        <w:t xml:space="preserve">1. der Rechtsträger der Behörde, die die individuell zurechenbare öffentliche Leistung erbringt, oder</w:t>
      </w:r>
    </w:p>
    <w:p>
      <w:pPr>
        <w:ind w:left="420"/>
      </w:pPr>
      <w:r>
        <w:t xml:space="preserve">2. der Beliehene, wenn die individuell zurechenbare öffentliche Leistung von diesem erbracht wird.</w:t>
      </w:r>
    </w:p>
    <w:p>
      <w:r>
        <w:rPr>
          <w:color w:val="555555"/>
          <w:sz w:val="17"/>
        </w:rPr>
        <w:t xml:space="preserve">Zitiervorschlag: § 5 BGebG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https://recht.nulegal.eu/gesetze/BGebG/5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