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BGebG — Entstehung der Gebührenschuld</w:t>
      </w:r>
    </w:p>
    <w:p>
      <w:r>
        <w:rPr>
          <w:color w:val="555555"/>
          <w:sz w:val="18"/>
        </w:rPr>
        <w:t xml:space="preserve">Bundesgebührengesetz</w:t>
      </w:r>
    </w:p>
    <w:p>
      <w:r>
        <w:rPr>
          <w:color w:val="555555"/>
          <w:sz w:val="18"/>
        </w:rPr>
        <w:t xml:space="preserve">Stand: 10.06.2019 (konsolidierte Textfassung, kein amtliches Inkrafttretensdatum)</w:t>
      </w:r>
    </w:p>
    <w:p>
      <w:r>
        <w:t xml:space="preserve">(1) Die Gebührenschuld entsteht mit Beendigung der individuell zurechenbaren öffentlichen Leistung. Bedarf diese Leistung einer Zustellung, Eröffnung oder sonstigen Bekanntgabe, so gilt dies als deren Beendigung.</w:t>
      </w:r>
    </w:p>
    <w:p>
      <w:r>
        <w:t xml:space="preserve">(2) Abweichend von Absatz 1 entsteht die Gebührenschuld,</w:t>
      </w:r>
    </w:p>
    <w:p>
      <w:pPr>
        <w:ind w:left="420"/>
      </w:pPr>
      <w:r>
        <w:t xml:space="preserve">1. wenn ein Antrag oder ein Widerspruch zurückgenommen wird oder sich auf sonstige Weise erledigt, mit der Zurücknahme oder der sonstigen Erledigung und</w:t>
      </w:r>
    </w:p>
    <w:p>
      <w:pPr>
        <w:ind w:left="420"/>
      </w:pPr>
      <w:r>
        <w:t xml:space="preserve">2. wenn eine individuell zurechenbare öffentliche Leistung aus Gründen, die der Betroffene zu vertreten hat, nicht zum festgesetzten Termin erbracht werden kann oder abgebrochen werden muss, im Zeitpunkt des für die Erbringung der Leistung festgesetzten Termins oder des Abbruchs der Leistung.</w:t>
      </w:r>
    </w:p>
    <w:p>
      <w:r>
        <w:rPr>
          <w:color w:val="555555"/>
          <w:sz w:val="17"/>
        </w:rPr>
        <w:t xml:space="preserve">Zitiervorschlag: § 4 BGebG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