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BGebG — Rechtsbehelf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Gebührenfestsetzung kann zusammen mit der Sachentscheidung oder selbständig angefochten werden. Der Rechtsbehelf gegen eine Sachentscheidung erstreckt sich auch auf die Gebührenfestsetzung.</w:t>
      </w:r>
    </w:p>
    <w:p>
      <w:r>
        <w:t xml:space="preserve">(2) Wird die Gebührenfestsetzung selbständig angefochten, so ist das Rechtsbehelfsverfahren gebührenrechtlich als selbständiges Verfahren zu behandeln.</w:t>
      </w:r>
    </w:p>
    <w:p>
      <w:r>
        <w:rPr>
          <w:color w:val="555555"/>
          <w:sz w:val="17"/>
        </w:rPr>
        <w:t xml:space="preserve">Zitiervorschlag: § 20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