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BGebG — Zahlungsverjährung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auf Zahlung von Gebühren verjährt nach fünf Jahren. Die Verjährung beginnt mit dem Ablauf des Kalenderjahres, in dem der Anspruch erstmals fällig geworden ist.</w:t>
      </w:r>
    </w:p>
    <w:p>
      <w:r>
        <w:t xml:space="preserve">(2) Die Verjährung ist gehemmt, solange der Anspruch wegen höherer Gewalt innerhalb der letzten sechs Monate der Verjährungsfrist nicht verfolgt werden kann.</w:t>
      </w:r>
    </w:p>
    <w:p>
      <w:r>
        <w:rPr>
          <w:color w:val="555555"/>
          <w:sz w:val="17"/>
        </w:rPr>
        <w:t xml:space="preserve">Zitiervorschlag: § 18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