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BGebG — Gebührenfestsetzung</w:t>
      </w:r>
    </w:p>
    <w:p>
      <w:r>
        <w:rPr>
          <w:color w:val="555555"/>
          <w:sz w:val="18"/>
        </w:rPr>
        <w:t xml:space="preserve">Bundesgebührengesetz</w:t>
      </w:r>
    </w:p>
    <w:p>
      <w:r>
        <w:rPr>
          <w:color w:val="555555"/>
          <w:sz w:val="18"/>
        </w:rPr>
        <w:t xml:space="preserve">Stand: 11.07.2026 (konsolidierte Textfassung, kein amtliches Inkrafttretensdatum)</w:t>
      </w:r>
    </w:p>
    <w:p>
      <w:r>
        <w:t xml:space="preserve">(1) Gebühren werden von Amts wegen schriftlich oder elektronisch festgesetzt. Die Gebührenfestsetzung soll zusammen mit der Sachentscheidung erfolgen. Gebühren, die bei richtiger Behandlung der Sache durch die Behörde nicht entstanden wären, werden nicht erhoben. Bei turnusmäßig anfallenden Gebühren soll dem Gebührenschuldner mit erstmaliger Festsetzung die Erteilung eines SEPA-Lastschriftmandats angeboten werden.</w:t>
      </w:r>
    </w:p>
    <w:p>
      <w:r>
        <w:t xml:space="preserve">(2) Bei Festsetzung einer Rahmengebühr nach § 11 Nummer 3 ist § 9 Absatz 1 bis 3 anzuwenden.</w:t>
      </w:r>
    </w:p>
    <w:p>
      <w:r>
        <w:t xml:space="preserve">(3) Die Festsetzung sowie ihre Aufhebung oder Änderung ist nicht mehr zulässig, wenn die Festsetzungsfrist abgelaufen ist. Die Festsetzungsfrist beträgt vier Jahre. Sie beginnt mit Ablauf des Kalenderjahres, in dem der Gebührenanspruch entstanden ist. Die Festsetzungsfrist läuft nicht ab, solange</w:t>
      </w:r>
    </w:p>
    <w:p>
      <w:pPr>
        <w:ind w:left="420"/>
      </w:pPr>
      <w:r>
        <w:t xml:space="preserve">1. über einen vor Ablauf der Frist gestellten Antrag auf Aufhebung oder Änderung der Festsetzung oder einen eingelegten Rechtsbehelf nicht unanfechtbar entschieden worden ist oder</w:t>
      </w:r>
    </w:p>
    <w:p>
      <w:pPr>
        <w:ind w:left="420"/>
      </w:pPr>
      <w:r>
        <w:t xml:space="preserve">2. der Anspruch wegen höherer Gewalt innerhalb der letzten sechs Monate der Festsetzungsfrist nicht verfolgt werden kann.</w:t>
      </w:r>
    </w:p>
    <w:p>
      <w:r>
        <w:rPr>
          <w:color w:val="555555"/>
          <w:sz w:val="17"/>
        </w:rPr>
        <w:t xml:space="preserve">Zitiervorschlag: § 13 BGebG</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