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BGebG — Gebührenarten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Gebühren sind wie folgt zu bestimmen:</w:t>
      </w:r>
    </w:p>
    <w:p>
      <w:pPr>
        <w:ind w:left="420"/>
      </w:pPr>
      <w:r>
        <w:t xml:space="preserve">1. durch feste Sätze (Festgebühren),</w:t>
      </w:r>
    </w:p>
    <w:p>
      <w:pPr>
        <w:ind w:left="420"/>
      </w:pPr>
      <w:r>
        <w:t xml:space="preserve">2. nach dem Zeitaufwand für die individuell zurechenbare öffentliche Leistung (Zeitgebühren) oder</w:t>
      </w:r>
    </w:p>
    <w:p>
      <w:pPr>
        <w:ind w:left="420"/>
      </w:pPr>
      <w:r>
        <w:t xml:space="preserve">3. durch Rahmensätze (Rahmengebühren).</w:t>
      </w:r>
    </w:p>
    <w:p>
      <w:r>
        <w:rPr>
          <w:color w:val="555555"/>
          <w:sz w:val="17"/>
        </w:rPr>
        <w:t xml:space="preserve">Zitiervorschlag: § 11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