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BGebG — Gebührenerhebung</w:t>
      </w:r>
    </w:p>
    <w:p>
      <w:r>
        <w:rPr>
          <w:color w:val="555555"/>
          <w:sz w:val="18"/>
        </w:rPr>
        <w:t xml:space="preserve">Bundesgebührengesetz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Gebührengläubiger erhebt für individuell zurechenbare öffentliche Leistungen vom Gebührenschuldner Gebühren und Auslagen nach Maßgabe dieses Gesetzes und der Gebührenverordnungen nach § 22 Absatz 3 und 4.</w:t>
      </w:r>
    </w:p>
    <w:p>
      <w:r>
        <w:rPr>
          <w:color w:val="555555"/>
          <w:sz w:val="17"/>
        </w:rPr>
        <w:t xml:space="preserve">Zitiervorschlag: § 1 BGebG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https://recht.nulegal.eu/gesetze/BGebG/1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