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BGVPLTErG — Kosten bei Errichtung</w:t>
      </w:r>
    </w:p>
    <w:p>
      <w:r>
        <w:rPr>
          <w:color w:val="555555"/>
          <w:sz w:val="18"/>
        </w:rPr>
        <w:t xml:space="preserve">Gesetz zur Errichtung der Berufsgenossenschaft Verkehrswirtschaft Post-Logistik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Rechts- und Amtshandlungen, die aus Anlass der Errichtung der Berufsgenossenschaft Verkehrswirtschaft Post-Logistik Telekommunikation sowie der Eingliederung der Unfallkasse Post und Telekom und der Berufsgenossenschaft für Transport und Verkehrswirtschaft erforderlich sind, werden sonstige Abgaben und Gerichtskosten in Grundbuchsachen nicht erhoben.</w:t>
      </w:r>
    </w:p>
    <w:p>
      <w:r>
        <w:t xml:space="preserve">(2) Die Abgaben- und Gerichtskostenfreiheit nach Absatz 1 ist von der zuständigen Stelle ohne Nachprüfung anzuerkennen, wenn die Berufsgenossenschaft Verkehrswirtschaft Post-Logistik Telekommunikation bestätigt, dass die Maßnahme der Durchführung dieses Gesetzes dient.</w:t>
      </w:r>
    </w:p>
    <w:p>
      <w:r>
        <w:rPr>
          <w:color w:val="555555"/>
          <w:sz w:val="17"/>
        </w:rPr>
        <w:t xml:space="preserve">Zitiervorschlag: § 6 BGVPLTErG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https://recht.nulegal.eu/gesetze/BGVPLTErG/6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