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BGVPLTErG — Sitz und Satzung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Sitz der Berufsgenossenschaft Verkehrswirtschaft Post-Logistik Telekommunikation wird durch die Satzung bestimmt.</w:t>
      </w:r>
    </w:p>
    <w:p>
      <w:r>
        <w:t xml:space="preserve">(2) Die Satzung der Berufsgenossenschaft Verkehrswirtschaft Post-Logistik Telekommunikation bedarf der Genehmigung des Bundesamtes für Soziale Sicherung.</w:t>
      </w:r>
    </w:p>
    <w:p>
      <w:r>
        <w:rPr>
          <w:color w:val="555555"/>
          <w:sz w:val="17"/>
        </w:rPr>
        <w:t xml:space="preserve">Zitiervorschlag: § 3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