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BGVPLTErG — Übernahme weiterer Aufgaben für die Mitgliedsunternehmen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Berufsgenossenschaft Verkehrswirtschaft Post-Logistik Telekommunikation kann nach Maßgabe entgeltlicher Geschäftsbesorgungsverträge, die sie mit ihren in § 121 Absatz 2 Nummer 3 bis 8 des Siebten Buches Sozialgesetzbuch genannten Mitgliedsunternehmen schließt, für diese folgende weitere Aufgaben übernehmen:</w:t>
      </w:r>
    </w:p>
    <w:p>
      <w:pPr>
        <w:ind w:left="420"/>
      </w:pPr>
      <w:r>
        <w:t xml:space="preserve">1. die Gewährung von Sachschadenersatz bei Arbeitsunfällen der Arbeitnehmerinnen und Arbeitnehmer der Mitgliedsunternehmen und</w:t>
      </w:r>
    </w:p>
    <w:p>
      <w:pPr>
        <w:ind w:left="420"/>
      </w:pPr>
      <w:r>
        <w:t xml:space="preserve">2. die Regelung der wegen unfallbedingter Arbeitgeberleistungen übergeleiteten Schadenersatzansprüche.</w:t>
      </w:r>
    </w:p>
    <w:p>
      <w:r>
        <w:rPr>
          <w:color w:val="555555"/>
          <w:sz w:val="17"/>
        </w:rPr>
        <w:t xml:space="preserve">Zitiervorschlag: § 15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