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BGVPLTErG — Übergangsregelungen zu den Selbstverwaltungsorganen</w:t>
      </w:r>
    </w:p>
    <w:p>
      <w:r>
        <w:rPr>
          <w:color w:val="555555"/>
          <w:sz w:val="18"/>
        </w:rPr>
        <w:t xml:space="preserve">Gesetz zur Errichtung der Berufsgenossenschaft Verkehrswirtschaft Post-Logistik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zum Ablauf der am 1. Januar 2016 laufenden Wahlperiode richten sich die Bildung und das Verfahren der Selbstverwaltungsorgane der Berufsgenossenschaft Verkehrswirtschaft Post-Logistik Telekommunikation nach den §§ 11 und 12. Im Übrigen gelten die Vorschriften des Ersten und Zweiten Titels des Vierten Abschnitts des Vierten Buches Sozialgesetzbuch.</w:t>
      </w:r>
    </w:p>
    <w:p>
      <w:r>
        <w:rPr>
          <w:color w:val="555555"/>
          <w:sz w:val="17"/>
        </w:rPr>
        <w:t xml:space="preserve">Zitiervorschlag: § 10 BGVPLTErG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https://recht.nulegal.eu/gesetze/BGVPLTErG/10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