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BGVPLTAufgDV</w:t>
      </w:r>
    </w:p>
    <w:p>
      <w:r>
        <w:rPr>
          <w:color w:val="555555"/>
          <w:sz w:val="18"/>
        </w:rPr>
        <w:t xml:space="preserve">Verordnung über die Durchführung übertragener Aufgaben durch die Berufsgenossenschaft Verkehrswirtschaft Post-Logistik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Absatz 6 des Gesetzes zur Errichtung der Berufsgenossenschaft Verkehrswirtschaft Post-Logistik Telekommunikation vom 19. Oktober 2013 (BGBl. I S. 3836, 3838) verordnet das Bundesministerium der Finanzen:</w:t>
      </w:r>
    </w:p>
    <w:p>
      <w:r>
        <w:rPr>
          <w:color w:val="555555"/>
          <w:sz w:val="17"/>
        </w:rPr>
        <w:t xml:space="preserve">Zitiervorschlag: Eingangsformel BGVPLTAufgDV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https://recht.nulegal.eu/gesetze/BGVPLTAufgDV/eingangsformel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