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BGVPLTAufgDV — Säumniszuschläge</w:t>
      </w:r>
    </w:p>
    <w:p>
      <w:r>
        <w:rPr>
          <w:color w:val="555555"/>
          <w:sz w:val="18"/>
        </w:rPr>
        <w:t xml:space="preserve">Verordnung über die Durchführung übertragener Aufgaben durch die Berufsgenossenschaft Verkehrswirtschaft Post-Logistik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Forderungen und Vorschusszahlungen, die ein Mitgliedsunternehmen nicht bis zum Ablauf des Fälligkeitstages erfüllt, ist für jeden angefangenen Monat der Säumnis ein Säumniszuschlag von 1 Prozent des rückständigen, auf hundert Euro nach unten abgerundeten Betrages zu zahlen.</w:t>
      </w:r>
    </w:p>
    <w:p>
      <w:r>
        <w:t xml:space="preserve">(2) Bei einem rückständigen Betrag von weniger als 200 Euro ist ein Säumniszuschlag nicht zu erheben.</w:t>
      </w:r>
    </w:p>
    <w:p>
      <w:r>
        <w:t xml:space="preserve">(3) Ein Säumniszuschlag auf eine Forderung wird nicht erhoben, wenn ein Mitgliedsunternehmen glaubhaft macht, dass es unverschuldet keine Kenntnis von der Zahlungspflicht hatte.</w:t>
      </w:r>
    </w:p>
    <w:p>
      <w:r>
        <w:rPr>
          <w:color w:val="555555"/>
          <w:sz w:val="17"/>
        </w:rPr>
        <w:t xml:space="preserve">Zitiervorschlag: § 7 BGVPLTAufgDV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https://recht.nulegal.eu/gesetze/BGVPLTAufgDV/7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