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BGVPLTAufgDV — Inkrafttreten</w:t>
      </w:r>
    </w:p>
    <w:p>
      <w:r>
        <w:rPr>
          <w:color w:val="555555"/>
          <w:sz w:val="18"/>
        </w:rPr>
        <w:t xml:space="preserve">Verordnung über die Durchführung übertragener Aufgaben durch die Berufsgenossenschaft Verkehrswirtschaft Post-Logistik Telekommunikation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Januar 2016 in Kraft.</w:t>
      </w:r>
    </w:p>
    <w:p>
      <w:r>
        <w:rPr>
          <w:color w:val="555555"/>
          <w:sz w:val="17"/>
        </w:rPr>
        <w:t xml:space="preserve">Zitiervorschlag: § 10 BGVPLTAufgDV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https://recht.nulegal.eu/gesetze/BGVPLTAufgDV/10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