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BGVGebV</w:t>
      </w:r>
    </w:p>
    <w:p>
      <w:r>
        <w:rPr>
          <w:color w:val="555555"/>
          <w:sz w:val="18"/>
        </w:rPr>
        <w:t xml:space="preserve">BG Verkehr-Gebührenverordnung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Bundesministerium für Verkehr, Bau und Stadtentwicklung verordnet, jeweils in Verbindung mit dem 2. Abschnitt des Verwaltungskostengesetzes vom 23. Juni 1970 (BGBl. I S. 821), auf Grund</w:t>
      </w:r>
    </w:p>
    <w:p>
      <w:pPr>
        <w:ind w:left="420"/>
      </w:pPr>
      <w:r>
        <w:t xml:space="preserve">– des § 12 Absatz 2 des Seeaufgabengesetzes in der Fassung der Bekanntmachung vom 26. Juli 2002 (BGBl. I S. 2876), der durch Artikel 319 der Verordnung vom 31. Oktober 2006 (BGBl. I S. 2407) geändert worden ist, im Einvernehmen mit dem Bundesministerium der Finanzen,</w:t>
      </w:r>
    </w:p>
    <w:p>
      <w:pPr>
        <w:ind w:left="420"/>
      </w:pPr>
      <w:r>
        <w:t xml:space="preserve">– des § 149 Absatz 2 des Seearbeitsgesetzes vom 20. April 2013 (BGBl. I S. 868) im Einvernehmen mit dem Bundesministerium für Arbeit und Soziales,</w:t>
      </w:r>
    </w:p>
    <w:p>
      <w:pPr>
        <w:ind w:left="420"/>
      </w:pPr>
      <w:r>
        <w:t xml:space="preserve">– des § 12 Absatz 2 in Verbindung mit Absatz 4 des Gefahrgutbeförderungsgesetzes vom 7. Juli 2009 (BGBl. I S. 1774, 3975):</w:t>
      </w:r>
    </w:p>
    <w:p>
      <w:r>
        <w:rPr>
          <w:color w:val="555555"/>
          <w:sz w:val="17"/>
        </w:rPr>
        <w:t xml:space="preserve">Zitiervorschlag: Eingangsformel BGVGebV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