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BGVGebV — Inkrafttreten, Außerkrafttreten</w:t>
      </w:r>
    </w:p>
    <w:p>
      <w:r>
        <w:rPr>
          <w:color w:val="555555"/>
          <w:sz w:val="18"/>
        </w:rPr>
        <w:t xml:space="preserve">BG Verkehr-Gebührenverordnung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Diese Verordnung tritt am 1. August 2013 in Kraft.</w:t>
      </w:r>
    </w:p>
    <w:p>
      <w:r>
        <w:t xml:space="preserve">(2) Abschnitt I Buchstabe I (Nummer 0750) der Anlage zu § 2 Absatz 1 tritt am 31. Juli 2018 außer Kraft.</w:t>
      </w:r>
    </w:p>
    <w:p>
      <w:r>
        <w:t xml:space="preserve">(3) Diese Verordnung tritt am 1. Oktober 2021 außer Kraft.</w:t>
      </w:r>
    </w:p>
    <w:p>
      <w:r>
        <w:rPr>
          <w:color w:val="555555"/>
          <w:sz w:val="17"/>
        </w:rPr>
        <w:t xml:space="preserve">Zitiervorschlag: § 6 BGVGebV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