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BGVGebV — Übergangsregelung</w:t>
      </w:r>
    </w:p>
    <w:p>
      <w:r>
        <w:rPr>
          <w:color w:val="555555"/>
          <w:sz w:val="18"/>
        </w:rPr>
        <w:t xml:space="preserve">BG Verkehr-Gebührenverordnung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Soweit Amtshandlungen vor dem 1. August 2013 bereits beantragt oder begonnen wurden, ist für die Erhebung von Gebühren und Auslagen die Kostenverordnung für Amtshandlungen der See-Berufsgenossenschaft vom 21. Dezember 2001 (BGBl. I S. 4241), die durch Artikel 1 der Verordnung vom 21. Februar 2005 (BGBl. I S. 323) geändert worden ist, weiter anzuwenden.</w:t>
      </w:r>
    </w:p>
    <w:p>
      <w:r>
        <w:rPr>
          <w:color w:val="555555"/>
          <w:sz w:val="17"/>
        </w:rPr>
        <w:t xml:space="preserve">Zitiervorschlag: § 5 BGVGebV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https://recht.nulegal.eu/gesetze/BGVGebV/5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