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BGVGebV — Gebühren und Auslagen</w:t>
      </w:r>
    </w:p>
    <w:p>
      <w:r>
        <w:rPr>
          <w:color w:val="555555"/>
          <w:sz w:val="18"/>
        </w:rPr>
        <w:t xml:space="preserve">BG Verkehr-Gebührenverordnung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gebührenpflichtigen Tatbestände und Gebührensätze ergeben sich aus dem anliegenden Gebührenverzeichnis.</w:t>
      </w:r>
    </w:p>
    <w:p>
      <w:r>
        <w:t xml:space="preserve">(2) Auslagen werden nach Maßgabe des § 10 Absatz 1 Nummer 2 bis 8 des Verwaltungskostengesetzes gesondert erhoben, soweit sie nicht in die Gebühren einbezogen wurden.</w:t>
      </w:r>
    </w:p>
    <w:p>
      <w:r>
        <w:rPr>
          <w:color w:val="555555"/>
          <w:sz w:val="17"/>
        </w:rPr>
        <w:t xml:space="preserve">Zitiervorschlag: § 2 BGVGebV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