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BGSVVermG — Erwerbspreis</w:t>
      </w:r>
    </w:p>
    <w:p>
      <w:r>
        <w:rPr>
          <w:color w:val="555555"/>
          <w:sz w:val="18"/>
        </w:rPr>
        <w:t xml:space="preserve">Gesetz zur Regelung von Vermögensfragen der Sozialversicherung im Beitrittsgebiet</w:t>
      </w:r>
    </w:p>
    <w:p>
      <w:r>
        <w:rPr>
          <w:color w:val="555555"/>
          <w:sz w:val="18"/>
        </w:rPr>
        <w:t xml:space="preserve">Stand: 10.06.2019 (konsolidierte Textfassung, kein amtliches Inkrafttretensdatum)</w:t>
      </w:r>
    </w:p>
    <w:p>
      <w:r>
        <w:t xml:space="preserve">Die Sozialversicherungsträger oder ihre Verbände haben den Verkehrswert des erworbenen Grundstücks oder Gebäudes, wie er, bezogen auf den 1. Januar 1991, ermittelt wird, unter Abzug der Grundpfandrechte auf ein Sonderkonto bei der Überleitungsanstalt Sozialversicherung als Erwerbspreis zu zahlen. Soweit der Eigentumsübergang ein Grundstück oder Gebäude aus dem Gesundheitswesen Wismut nach § 1 Abs. 2 betrifft, ist der Erwerbspreis auf ein weiteres, von der Überleitungsanstalt Sozialversicherung einzurichtendes Sonderkonto zu zahlen. Die Auslagen für die Ermittlung des Verkehrswertes hat der Erwerber zu tragen.</w:t>
      </w:r>
    </w:p>
    <w:p>
      <w:r>
        <w:rPr>
          <w:color w:val="555555"/>
          <w:sz w:val="17"/>
        </w:rPr>
        <w:t xml:space="preserve">Zitiervorschlag: § 6 BGSVVermG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https://recht.nulegal.eu/gesetze/BGSVVermG/6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