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BGSVVermG — Klärung der Eigentumsverhältnisse, Mitwirkungspflichten der Überleitungsanstalt Sozialversicherung</w:t>
      </w:r>
    </w:p>
    <w:p>
      <w:r>
        <w:rPr>
          <w:color w:val="555555"/>
          <w:sz w:val="18"/>
        </w:rPr>
        <w:t xml:space="preserve">Gesetz zur Regelung von Vermögensfragen der Sozialversicherung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Überleitungsanstalt Sozialversicherung hat bei den Grundstücken und Gebäuden, bei denen nicht auszuschließen ist, daß sie zum Gesamthandsvermögen oder zum Vermögen des Gesundheitswesens Wismut nach § 1 Abs. 2 gehören, eine Klärung der Eigentumsverhältnisse herbeizuführen.</w:t>
      </w:r>
    </w:p>
    <w:p>
      <w:r>
        <w:rPr>
          <w:color w:val="555555"/>
          <w:sz w:val="17"/>
        </w:rPr>
        <w:t xml:space="preserve">Zitiervorschlag: § 3 BGSVVermG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https://recht.nulegal.eu/gesetze/BGSVVermG/3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