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BGSVVermG — Auflösung der Sonderkonten</w:t>
      </w:r>
    </w:p>
    <w:p>
      <w:r>
        <w:rPr>
          <w:color w:val="555555"/>
          <w:sz w:val="18"/>
        </w:rPr>
        <w:t xml:space="preserve">Gesetz zur Regelung von Vermögensfragen der Sozialversicherung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Begleichung der Verbindlichkeiten und Einziehung der Forderungen ist das Sonderkonto für das Gesamthandsvermögen aufzulösen, indem der Saldo zu jeweils einem Drittel auf die drei Zweige der Sozialversicherung aufgeteilt wird. § 10 Abs. 1 gilt entsprechend.</w:t>
      </w:r>
    </w:p>
    <w:p>
      <w:r>
        <w:t xml:space="preserve">(2) Der Saldo aus dem Sonderkonto für das Immobiliarvermögen aus dem Gesundheitswesen Wismut ist auf die Länder Sachsen und Thüringen zu gleichen Teilen zu übertragen.</w:t>
      </w:r>
    </w:p>
    <w:p>
      <w:r>
        <w:rPr>
          <w:color w:val="555555"/>
          <w:sz w:val="17"/>
        </w:rPr>
        <w:t xml:space="preserve">Zitiervorschlag: § 13 BGSVVermG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https://recht.nulegal.eu/gesetze/BGSVVermG/13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