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BGSVVermG — Vertretungsbefugnis</w:t>
      </w:r>
    </w:p>
    <w:p>
      <w:r>
        <w:rPr>
          <w:color w:val="555555"/>
          <w:sz w:val="18"/>
        </w:rPr>
        <w:t xml:space="preserve">Gesetz zur Regelung von Vermögensfragen der Sozialversicherung im Beitrittsgebiet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Geschäftsführer der Überleitungsanstalt Sozialversicherung oder eine von ihm zu ermächtigende Person sind bis zu einer Übertragung gemäß § 2 oder der Feststellung eines Rechtsübergangs nach den §§ 7 oder 8 berechtigt, die Eigentümer des Gesamthandsvermögens oder des Vermögens des Gesundheitswesens Wismut im Sinne des § 1 zu vertreten, soweit sie</w:t>
      </w:r>
    </w:p>
    <w:p>
      <w:pPr>
        <w:ind w:left="420"/>
      </w:pPr>
      <w:r>
        <w:t xml:space="preserve">1. die für die Verwaltung des Vermögens notwendigen Handlungen vornimmt,</w:t>
      </w:r>
    </w:p>
    <w:p>
      <w:pPr>
        <w:ind w:left="420"/>
      </w:pPr>
      <w:r>
        <w:t xml:space="preserve">2. im Benehmen mit den Spitzenverbänden der Sozialversicherungsträger Verträge über das Vermögen abschließt oder</w:t>
      </w:r>
    </w:p>
    <w:p>
      <w:pPr>
        <w:ind w:left="420"/>
      </w:pPr>
      <w:r>
        <w:t xml:space="preserve">3. notwendige Verfügungen über Einnahmen und bewegliches Eigentum vornimmt.</w:t>
      </w:r>
    </w:p>
    <w:p>
      <w:r>
        <w:t xml:space="preserve">(2) Verträge nach § 2 Abs. 4, die die Überleitungsanstalt Sozialversicherung vor dem Inkrafttreten dieses Gesetzes abgeschlossen hat, gelten als genehmigt, wenn die Verträge im Benehmen mit den Spitzenverbänden abgeschlossen worden sind.</w:t>
      </w:r>
    </w:p>
    <w:p>
      <w:r>
        <w:rPr>
          <w:color w:val="555555"/>
          <w:sz w:val="17"/>
        </w:rPr>
        <w:t xml:space="preserve">Zitiervorschlag: § 11 BGSVVermG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https://recht.nulegal.eu/gesetze/BGSVVermG/11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