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BGSVVermG</w:t>
      </w:r>
    </w:p>
    <w:p>
      <w:r>
        <w:rPr>
          <w:color w:val="555555"/>
          <w:sz w:val="18"/>
        </w:rPr>
        <w:t xml:space="preserve">Gesetz zur Regelung von Vermögensfragen der Sozialversicherung im Beitrittsgebiet</w:t>
      </w:r>
    </w:p>
    <w:p>
      <w:r>
        <w:rPr>
          <w:color w:val="555555"/>
          <w:sz w:val="18"/>
        </w:rPr>
        <w:t xml:space="preserve">Stand: 10.06.2019 (konsolidierte Textfassung, kein amtliches Inkrafttretensdatum)</w:t>
      </w:r>
    </w:p>
    <w:p>
      <w:r>
        <w:t xml:space="preserve">(1) Das Vermögen nach Anlage I Kapitel VIII Sachgebiet F Abschnitt II Nr. 1 § 3 Abs. 1 des Einigungsvertrages (Gesamthandsvermögen) wird nach den folgenden Vorschriften aufgeteilt.</w:t>
      </w:r>
    </w:p>
    <w:p>
      <w:r>
        <w:t xml:space="preserve">(2) Zum Gesamthandsvermögen im Sinne des Absatzes 1 gehört auch das Vermögen der Sozialversicherung Wismut und des Gesundheitswesens Wismut, insbesondere die Grundstücke und Gebäude, die am 30. Juni 1990 in deren Eigentum standen und die nicht aufgrund besatzungsrechtlicher Maßnahmen in das Eigentum der Sowjetischen Aktiengesellschaft Wismut gelangt sind. Diese Grundstücke und Gebäude sind nicht als der Sowjetisch-Deutschen Aktiengesellschaft Wismut sachlich zugeordnet anzusehen.</w:t>
      </w:r>
    </w:p>
    <w:p>
      <w:r>
        <w:rPr>
          <w:color w:val="555555"/>
          <w:sz w:val="17"/>
        </w:rPr>
        <w:t xml:space="preserve">Zitiervorschlag: § 1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