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II. BGSResErnAnO</w:t>
      </w:r>
    </w:p>
    <w:p>
      <w:r>
        <w:rPr>
          <w:color w:val="555555"/>
          <w:sz w:val="18"/>
        </w:rPr>
        <w:t xml:space="preserve">Anordnung über die Ernennung und Entlassung der Angehörigen der Grenzschutzreserve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besondere Fälle behalte ich mir die Ernennung und Entlassung der in Abschnitt I Genannten vor. Diese Anordnung tritt am Tage nach ihrer Verkündung in Kraft.</w:t>
      </w:r>
    </w:p>
    <w:p>
      <w:r>
        <w:rPr>
          <w:color w:val="555555"/>
          <w:sz w:val="17"/>
        </w:rPr>
        <w:t xml:space="preserve">Zitiervorschlag: II. BGSResErnAnO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https://recht.nulegal.eu/gesetze/BGSResErnAnO/ii.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