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BGSResErnAnO</w:t>
      </w:r>
    </w:p>
    <w:p>
      <w:r>
        <w:rPr>
          <w:color w:val="555555"/>
          <w:sz w:val="18"/>
        </w:rPr>
        <w:t xml:space="preserve">Anordnung über die Ernennung und Entlassung der Angehörigen der Grenzschutzreserve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55 Abs. 1 des Gesetzes über den Bundesgrenzschutz vom 18. August 1972 (Bundesgesetzbl. I S. 1834) und des Artikels 1 Abs. 2 der Anordnung des Bundespräsidenten über die Ernennung und Entlassung der Grenzschutzoffiziere der Reserve vom 27. September 1973 (Bundesgesetzbl. I S. 1465) übertrage ich widerruflich die Ausübung des Rechts zur Ernennung und Entlassung von Dienstleistenden im Bundesgrenzschutz, die</w:t>
      </w:r>
    </w:p>
    <w:p>
      <w:pPr>
        <w:ind w:left="420"/>
      </w:pPr>
      <w:r>
        <w:t xml:space="preserve">1. Dienstbezeichnungen von Polizeivollzugsbeamten der Laufbahn des mittleren Polizeivollzugsdienstes,</w:t>
      </w:r>
    </w:p>
    <w:p>
      <w:pPr>
        <w:ind w:left="420"/>
      </w:pPr>
      <w:r>
        <w:t xml:space="preserve">2. Dienstbezeichnungen von Polizeivollzugsbeamten der Laufbahn des gehobenen Polizeivollzugsdienstes bis zur Dienstbezeichnung eines Polizeioberkommissars im BGS der Reserve</w:t>
      </w:r>
    </w:p>
    <w:p>
      <w:r>
        <w:t xml:space="preserve">führen, den Kommandeuren der Grenzschutzkommandos, dem Kommandeur der Grenzschutzschule, jeweils für ihren Geschäftsbereich.</w:t>
      </w:r>
    </w:p>
    <w:p>
      <w:r>
        <w:rPr>
          <w:color w:val="555555"/>
          <w:sz w:val="17"/>
        </w:rPr>
        <w:t xml:space="preserve">Zitiervorschlag: I. BGSResErnAnO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https://recht.nulegal.eu/gesetze/BGSResErnAnO/i.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