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BGSG — Ordnungswidrigkeiten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als Grenzschutzdienstpflichtiger vorsätzlich oder fahrlässig</w:t>
      </w:r>
    </w:p>
    <w:p>
      <w:pPr>
        <w:ind w:left="420"/>
      </w:pPr>
      <w:r>
        <w:t xml:space="preserve">1. bei der Entlassung oder später zum Gebrauch im Grenzschutzdienst bestimmte Bekleidungs- oder Ausrüstungsstücke nicht übernimmt (§ 51),</w:t>
      </w:r>
    </w:p>
    <w:p>
      <w:pPr>
        <w:ind w:left="420"/>
      </w:pPr>
      <w:r>
        <w:t xml:space="preserve">2. sich nicht auf die geistige oder körperliche Tauglichkeit untersuchen läßt (§ 53 Abs. 2 Satz 2) oder</w:t>
      </w:r>
    </w:p>
    <w:p>
      <w:pPr>
        <w:ind w:left="420"/>
      </w:pPr>
      <w:r>
        <w:t xml:space="preserve">3. eine Aufforderung zur Vorstellung nicht befolgt (§ 51).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des Gesetzes über Ordnungswidrigkeiten ist das Kreiswehrersatzamt.</w:t>
      </w:r>
    </w:p>
    <w:p>
      <w:r>
        <w:rPr>
          <w:color w:val="555555"/>
          <w:sz w:val="17"/>
        </w:rPr>
        <w:t xml:space="preserve">Zitiervorschlag: § 61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