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BGSG — Anträge und Beschwerden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Dienstleistende kann Anträge und Beschwerden vorbringen; hierbei hat er den Dienstweg einzuhalten. Der Beschwerdeweg bis zur obersten Dienstbehörde steht offen.</w:t>
      </w:r>
    </w:p>
    <w:p>
      <w:r>
        <w:t xml:space="preserve">(2) Richtet sich die Beschwerde gegen den unmittelbaren Vorgesetzten, so kann sie bei dem nächsthöheren Vorgesetzten unmittelbar eingereicht werden.</w:t>
      </w:r>
    </w:p>
    <w:p>
      <w:r>
        <w:t xml:space="preserve">(3) Der Dienstleistende kann Eingaben an den Bundespersonalausschuß richten. Dieser entscheidet in der Zusammensetzung nach § 120 Abs. 1 bis 3 des Bundesbeamtengesetzes. Für das Verfahren gelten die Vorschriften der §§ 122 bis 124 des Bundesbeamtengesetzes entsprechend.</w:t>
      </w:r>
    </w:p>
    <w:p>
      <w:r>
        <w:rPr>
          <w:color w:val="555555"/>
          <w:sz w:val="17"/>
        </w:rPr>
        <w:t xml:space="preserve">Zitiervorschlag: § 57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