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69a BGSG 1994 — Bußgeldvorschriften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einer vollziehbaren Anordnung nach § 31a Abs. 1 zuwiderhandelt.</w:t>
      </w:r>
    </w:p>
    <w:p>
      <w:r>
        <w:t xml:space="preserve">(2) Die Ordnungswidrigkeit kann mit einer Geldbuße bis zu fünfzigtausend Euro geahndet werden.</w:t>
      </w:r>
    </w:p>
    <w:p>
      <w:r>
        <w:t xml:space="preserve">(3) Verwaltungsbehörde im Sinne des § 36 Abs. 1 Nr. 1 des Gesetzes über Ordnungswidrigkeiten ist die in der Rechtsverordnung nach § 58 Abs. 1 bestimmte Bundespolizeibehörde. Sie teilt dem Luftfahrt-Bundesamt die Verhängung eines Bußgeldes nach Absatz 1 mit.</w:t>
      </w:r>
    </w:p>
    <w:p>
      <w:r>
        <w:rPr>
          <w:color w:val="555555"/>
          <w:sz w:val="17"/>
        </w:rPr>
        <w:t xml:space="preserve">Zitiervorschlag: § 69a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https://recht.nulegal.eu/gesetze/BGSG%201994/69a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