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BGSG 1994 — Wahrnehmung von Aufgaben durch die Zollverwaltung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des Innern, für Bau und Heimat kann im Einvernehmen mit dem Bundesministerium der Finanzen durch Rechtsverordnung auf die Zollverwaltung zur Ausübung übertragen</w:t>
      </w:r>
    </w:p>
    <w:p>
      <w:pPr>
        <w:ind w:left="420"/>
      </w:pPr>
      <w:r>
        <w:t xml:space="preserve">1. die polizeiliche Kontrolle des grenzüberschreitenden Verkehrs (§ 2 Abs. 2 Nr. 2) an einzelnen Grenzübergangsstellen,</w:t>
      </w:r>
    </w:p>
    <w:p>
      <w:pPr>
        <w:ind w:left="420"/>
      </w:pPr>
      <w:r>
        <w:t xml:space="preserve">2. sonstige Aufgaben nach § 2.</w:t>
      </w:r>
    </w:p>
    <w:p>
      <w:r>
        <w:t xml:space="preserve">Nimmt die Zollverwaltung Aufgaben nach Satz 1 wahr, gilt § 66 Abs. 2 entsprechend.</w:t>
      </w:r>
    </w:p>
    <w:p>
      <w:r>
        <w:rPr>
          <w:color w:val="555555"/>
          <w:sz w:val="17"/>
        </w:rPr>
        <w:t xml:space="preserve">Zitiervorschlag: § 68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