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56 BGSG 1994 — Rechtsweg</w:t>
      </w:r>
    </w:p>
    <w:p>
      <w:r>
        <w:rPr>
          <w:color w:val="555555"/>
          <w:sz w:val="18"/>
        </w:rPr>
        <w:t xml:space="preserve">Bundespolizeigesetz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Für Ansprüche auf Schadensausgleich ist der ordentliche Rechtsweg, für Ansprüche auf Aufwendungsersatz nach § 55 Abs. 2 und 3 der Verwaltungsrechtsweg gegeben.</w:t>
      </w:r>
    </w:p>
    <w:p>
      <w:r>
        <w:rPr>
          <w:color w:val="555555"/>
          <w:sz w:val="17"/>
        </w:rPr>
        <w:t xml:space="preserve">Zitiervorschlag: § 56 BGSG 1994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https://recht.nulegal.eu/gesetze/BGSG%201994/56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