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BGSG 1994 — Verjährung des Ausgleichsanspruchs</w:t>
      </w:r>
    </w:p>
    <w:p>
      <w:r>
        <w:rPr>
          <w:color w:val="555555"/>
          <w:sz w:val="18"/>
        </w:rPr>
        <w:t xml:space="preserve">Bundespolizeigesetz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Anspruch auf den Ausgleich verjährt in drei Jahren von dem Zeitpunkt an, in welchem der Geschädigte, im Falle des § 53 der Anspruchsberechtigte, von dem Schaden und dem zum Ausgleich Verpflichteten Kenntnis erlangt, ohne Rücksicht auf diese Kenntnis in dreißig Jahren von dem Eintritt des schädigenden Ereignisses an.</w:t>
      </w:r>
    </w:p>
    <w:p>
      <w:r>
        <w:rPr>
          <w:color w:val="555555"/>
          <w:sz w:val="17"/>
        </w:rPr>
        <w:t xml:space="preserve">Zitiervorschlag: § 54 BGSG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https://recht.nulegal.eu/gesetze/BGSG%201994/54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