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BGSG 1994 — Betreten und Durchsuchung von Wohnungen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kann eine Wohnung ohne Einwilligung des Inhabers betreten und durchsuchen, wenn</w:t>
      </w:r>
    </w:p>
    <w:p>
      <w:pPr>
        <w:ind w:left="420"/>
      </w:pPr>
      <w:r>
        <w:t xml:space="preserve">1. Tatsachen die Annahme rechtfertigen, daß sich in ihr eine Person befindet, die nach § 25 Abs. 3 vorgeführt oder nach § 39 in Gewahrsam genommen werden darf,</w:t>
      </w:r>
    </w:p>
    <w:p>
      <w:pPr>
        <w:ind w:left="420"/>
      </w:pPr>
      <w:r>
        <w:t xml:space="preserve">2. Tatsachen die Annahme rechtfertigen, daß sich in ihr eine Sache befindet, die nach § 47 Nr. 1 sichergestellt werden darf, oder</w:t>
      </w:r>
    </w:p>
    <w:p>
      <w:pPr>
        <w:ind w:left="420"/>
      </w:pPr>
      <w:r>
        <w:t xml:space="preserve">3. dies zur Abwehr einer gegenwärtigen Gefahr für Leib, Leben oder Freiheit einer Person oder für Sachen von bedeutendem Wert erforderlich ist.</w:t>
      </w:r>
    </w:p>
    <w:p>
      <w:r>
        <w:t xml:space="preserve">Die Wohnung umfaßt die Wohn- und Nebenräume, Arbeits-, Betriebs- und Geschäftsräume sowie anderes befriedetes Besitztum.</w:t>
      </w:r>
    </w:p>
    <w:p>
      <w:r>
        <w:t xml:space="preserve">(2) Während der Nachtzeit (§ 104 Abs. 3 der Strafprozeßordnung) ist das Betreten und Durchsuchen einer Wohnung nur in den Fällen des Absatzes 1 Nr. 3 zulässig.</w:t>
      </w:r>
    </w:p>
    <w:p>
      <w:r>
        <w:t xml:space="preserve">(3) Wohnungen dürfen jedoch zur Verhütung oder Unterbindung unerlaubter Einreise in das Bundesgebiet jederzeit betreten werden, wenn Tatsachen die Annahme rechtfertigen, daß dort erfahrungsgemäß</w:t>
      </w:r>
    </w:p>
    <w:p>
      <w:pPr>
        <w:ind w:left="420"/>
      </w:pPr>
      <w:r>
        <w:t xml:space="preserve">1. Personen Straftaten im Sinne des § 12 Abs. 1 Nr. 2 und 3 verabreden, vorbereiten oder verüben,</w:t>
      </w:r>
    </w:p>
    <w:p>
      <w:pPr>
        <w:ind w:left="420"/>
      </w:pPr>
      <w:r>
        <w:t xml:space="preserve">2. sich Personen verbergen, die solche Straftaten begangen haben, oder</w:t>
      </w:r>
    </w:p>
    <w:p>
      <w:pPr>
        <w:ind w:left="420"/>
      </w:pPr>
      <w:r>
        <w:t xml:space="preserve">3. sich Personen ohne erforderlichen Aufenthaltstitel treffen.</w:t>
      </w:r>
    </w:p>
    <w:p>
      <w:r>
        <w:t xml:space="preserve">(4) Zur Erfüllung der Aufgaben nach § 7 kann die Bundespolizei Wohnungen zur Abwehr dringender Gefahren jederzeit betreten, wenn Tatsachen die Annahme rechtfertigen, daß dort erfahrungsgemäß</w:t>
      </w:r>
    </w:p>
    <w:p>
      <w:pPr>
        <w:ind w:left="420"/>
      </w:pPr>
      <w:r>
        <w:t xml:space="preserve">1. Personen Straftaten verabreden, vorbereiten, verüben oder</w:t>
      </w:r>
    </w:p>
    <w:p>
      <w:pPr>
        <w:ind w:left="420"/>
      </w:pPr>
      <w:r>
        <w:t xml:space="preserve">2. sich Straftäter verbergen.</w:t>
      </w:r>
    </w:p>
    <w:p>
      <w:r>
        <w:t xml:space="preserve">(5) Arbeits-, Betriebs- und Geschäftsräume sowie andere Räume und Grundstücke, die der Öffentlichkeit zugänglich sind, dürfen zum Zwecke der Gefahrenabwehr im Rahmen der der Bundespolizei zugewiesenen Aufgaben während der Arbeits-, Geschäfts- oder Aufenthaltszeit betreten werden.</w:t>
      </w:r>
    </w:p>
    <w:p>
      <w:r>
        <w:rPr>
          <w:color w:val="555555"/>
          <w:sz w:val="17"/>
        </w:rPr>
        <w:t xml:space="preserve">Zitiervorschlag: § 45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