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BGSG 1994 — Richterliche Entscheidung</w:t>
      </w:r>
    </w:p>
    <w:p>
      <w:r>
        <w:rPr>
          <w:color w:val="555555"/>
          <w:sz w:val="18"/>
        </w:rPr>
        <w:t xml:space="preserve">Bundespolizeigesetz</w:t>
      </w:r>
    </w:p>
    <w:p>
      <w:r>
        <w:rPr>
          <w:color w:val="555555"/>
          <w:sz w:val="18"/>
        </w:rPr>
        <w:t xml:space="preserve">Stand: 10.06.2019 (konsolidierte Textfassung, kein amtliches Inkrafttretensdatum)</w:t>
      </w:r>
    </w:p>
    <w:p>
      <w:r>
        <w:t xml:space="preserve">(1) Wird eine Person auf Grund des § 23 Abs. 3 Satz 4, § 25 Abs. 3, § 39 Abs. 1 oder 2 oder § 43 Abs. 5 festgehalten, hat die Bundespolizei unverzüglich eine richterliche Entscheidung über Zulässigkeit und Fortdauer der Freiheitsentziehung herbeizuführen, es sei denn, die Herbeiführung der richterlichen Entscheidung würde voraussichtlich längere Zeit in Anspruch nehmen, als zur Durchführung der Maßnahme notwendig wäre.</w:t>
      </w:r>
    </w:p>
    <w:p>
      <w:r>
        <w:t xml:space="preserve">(2) Für die Entscheidung nach Absatz 1 ist das Amtsgericht zuständig, in dessen Bezirk die Person festgehalten wird. Das Verfahren richtet sich nach Buch 7 des Gesetzes über das Verfahren in Familiensachen und in den Angelegenheiten der freiwilligen Gerichtsbarkeit.</w:t>
      </w:r>
    </w:p>
    <w:p>
      <w:r>
        <w:t xml:space="preserve">(3) Im Fall des § 39 Abs. 4 hat die ersuchende Behörde der Bundespolizei mit dem Ersuchen auch die richterliche Entscheidung über die Zulässigkeit der Freiheitsentziehung vorzulegen. Ist eine vorherige richterliche Entscheidung nicht ergangen, hat die Bundespolizei die festgehaltene Person zu entlassen, wenn die ersuchende Behörde diese nicht übernimmt oder die richterliche Entscheidung nicht unverzüglich nachträglich beantragt.</w:t>
      </w:r>
    </w:p>
    <w:p>
      <w:r>
        <w:rPr>
          <w:color w:val="555555"/>
          <w:sz w:val="17"/>
        </w:rPr>
        <w:t xml:space="preserve">Zitiervorschlag: § 40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https://recht.nulegal.eu/gesetze/BGSG%201994/40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