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BGSG 1994 — Errichtungsanordnung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Bundespolizei hat für jede zur Erfüllung der Aufgaben nach den §§ 1 bis 7 geführte automatisierte Datei mit personenbezogenen Daten in einer Errichtungsanordnung, die der Zustimmung des Bundesministeriums des Innern, für Bau und Heimat bedarf, festzulegen:</w:t>
      </w:r>
    </w:p>
    <w:p>
      <w:pPr>
        <w:ind w:left="420"/>
      </w:pPr>
      <w:r>
        <w:t xml:space="preserve">1. Bezeichnung der Datei,</w:t>
      </w:r>
    </w:p>
    <w:p>
      <w:pPr>
        <w:ind w:left="420"/>
      </w:pPr>
      <w:r>
        <w:t xml:space="preserve">2. Rechtsgrundlage und Zweck der Datei,</w:t>
      </w:r>
    </w:p>
    <w:p>
      <w:pPr>
        <w:ind w:left="420"/>
      </w:pPr>
      <w:r>
        <w:t xml:space="preserve">3. Personenkreis, über den Daten gespeichert werden,</w:t>
      </w:r>
    </w:p>
    <w:p>
      <w:pPr>
        <w:ind w:left="420"/>
      </w:pPr>
      <w:r>
        <w:t xml:space="preserve">4. Arten der zu speichernden personenbezogenen Daten,</w:t>
      </w:r>
    </w:p>
    <w:p>
      <w:pPr>
        <w:ind w:left="420"/>
      </w:pPr>
      <w:r>
        <w:t xml:space="preserve">5. Arten der personenbezogenen Daten, die der Erschließung der Datei dienen,</w:t>
      </w:r>
    </w:p>
    <w:p>
      <w:pPr>
        <w:ind w:left="420"/>
      </w:pPr>
      <w:r>
        <w:t xml:space="preserve">6. Anlieferung oder Eingabe der zu speichernden Daten,</w:t>
      </w:r>
    </w:p>
    <w:p>
      <w:pPr>
        <w:ind w:left="420"/>
      </w:pPr>
      <w:r>
        <w:t xml:space="preserve">7. Voraussetzungen, unter denen gespeicherte personenbezogene Daten an welche Empfänger und in welchem Verfahren übermittelt werden,</w:t>
      </w:r>
    </w:p>
    <w:p>
      <w:pPr>
        <w:ind w:left="420"/>
      </w:pPr>
      <w:r>
        <w:t xml:space="preserve">8. Prüffristen und Speicherungsdauer,</w:t>
      </w:r>
    </w:p>
    <w:p>
      <w:pPr>
        <w:ind w:left="420"/>
      </w:pPr>
      <w:r>
        <w:t xml:space="preserve">9. Protokollierung.</w:t>
      </w:r>
    </w:p>
    <w:p>
      <w:r>
        <w:t xml:space="preserve">(2) Vor Erlaß der Errichtungsanordnung ist der Bundesbeauftragte für den Datenschutz anzuhören. Die Errichtungsanordnung kann vorläufig ergehen, wenn wegen der Dringlichkeit der Aufgabenerfüllung die vorherige Anhörung nicht möglich ist.</w:t>
      </w:r>
    </w:p>
    <w:p>
      <w:r>
        <w:t xml:space="preserve">(3) In angemessenen Abständen ist die Notwendigkeit der Weiterführung oder Änderung der Dateien zu überprüfen.</w:t>
      </w:r>
    </w:p>
    <w:p>
      <w:r>
        <w:rPr>
          <w:color w:val="555555"/>
          <w:sz w:val="17"/>
        </w:rPr>
        <w:t xml:space="preserve">Zitiervorschlag: § 36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