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BGSG 1994 — Besondere Mittel der Datenerhebung</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unter Beachtung des § 70 Satz 2 personenbezogene Daten mit den besonderen Mitteln nach Absatz 2 erheben über</w:t>
      </w:r>
    </w:p>
    <w:p>
      <w:pPr>
        <w:ind w:left="420"/>
      </w:pPr>
      <w:r>
        <w:t xml:space="preserve">1. die nach § 17 oder § 18 Verantwortlichen oder unter den Voraussetzungen des § 20 Abs. 1 über die dort bezeichneten Personen zur Abwehr einer Gefahr für den Bestand oder die Sicherheit des Staates oder für Leib, Leben oder Freiheit einer Person oder für Sachen von erheblichem Wert, deren Erhaltung im öffentlichen Interesse geboten ist, oder</w:t>
      </w:r>
    </w:p>
    <w:p>
      <w:pPr>
        <w:ind w:left="420"/>
      </w:pPr>
      <w:r>
        <w:t xml:space="preserve">2. die in § 21 Abs. 2 bezeichneten Personen zur Verhütung von Straftaten im Sinne des § 12 Abs. 1 mit erheblicher Bedeutung, wenn Tatsachen die Annahme rechtfertigen, daß eine solche Straftat gewerbs-, gewohnheits-, bandenmäßig oder von einer kriminellen Vereinigung begangen werden soll,</w:t>
      </w:r>
    </w:p>
    <w:p>
      <w:r>
        <w:t xml:space="preserve">und die Abwehr der Gefahr oder die Verhütung der Straftat auf andere Weise aussichtslos ist oder wesentlich erschwert würde. Die Erhebung kann auch durchgeführt werden, wenn Dritte unvermeidbar betroffen werden.</w:t>
      </w:r>
    </w:p>
    <w:p>
      <w:r>
        <w:t xml:space="preserve">(2) Besondere Mittel der Datenerhebung sind</w:t>
      </w:r>
    </w:p>
    <w:p>
      <w:pPr>
        <w:ind w:left="420"/>
      </w:pPr>
      <w:r>
        <w:t xml:space="preserve">1. die planmäßig angelegte Beobachtung einer Person, die durchgehend länger als vierundzwanzig Stunden dauern oder an mehr als zwei Tagen stattfinden soll (längerfristige Observation),</w:t>
      </w:r>
    </w:p>
    <w:p>
      <w:pPr>
        <w:ind w:left="420"/>
      </w:pPr>
      <w:r>
        <w:t xml:space="preserve">2. der Einsatz technischer Mittel in einer für den Betroffenen nicht erkennbaren Weise</w:t>
      </w:r>
    </w:p>
    <w:p>
      <w:pPr>
        <w:ind w:left="780"/>
      </w:pPr>
      <w:r>
        <w:t xml:space="preserve">a) zur Anfertigung von Bildaufnahmen oder -aufzeichnungen,</w:t>
      </w:r>
    </w:p>
    <w:p>
      <w:pPr>
        <w:ind w:left="780"/>
      </w:pPr>
      <w:r>
        <w:t xml:space="preserve">b) zum Abhören oder Aufzeichnen des nicht öffentlich gesprochenen Wortes,</w:t>
      </w:r>
    </w:p>
    <w:p>
      <w:pPr>
        <w:ind w:left="420"/>
      </w:pPr>
      <w:r>
        <w:t xml:space="preserve">3. der Einsatz von Personen, die nicht der Bundespolizei angehören und deren Zusammenarbeit mit der Bundespolizei Dritten nicht bekannt ist und</w:t>
      </w:r>
    </w:p>
    <w:p>
      <w:pPr>
        <w:ind w:left="420"/>
      </w:pPr>
      <w:r>
        <w:t xml:space="preserve">4. der Einsatz von Polizeivollzugsbeamten unter einer ihnen auf Dauer angelegten Legende (Verdeckter Ermittler).</w:t>
      </w:r>
    </w:p>
    <w:p>
      <w:r>
        <w:t xml:space="preserve">(3) Der Einsatz von besonderen Mitteln nach Absatz 2 darf, außer bei Gefahr im Verzug, nur durch den Leiter der in der Rechtsverordnung nach § 58 Abs. 1 bestimmte Bundespolizeibehörde oder seinen Vertreter angeordnet werden. Die Anordnung ist unter Angabe der maßgeblichen Gründe aktenkundig zu machen und auf höchstens einen Monat zu befristen. Die Verlängerung der Maßnahme bedarf einer neuen Anordnung. Die Entscheidung über die Verlängerung der Maßnahme darf in Fällen des Absatzes 2 Nr. 1 und 2 Buchstabe b nur durch den Richter getroffen werden. Zuständig ist das Amtsgericht, in dessen Bezirk die Bundespolizeibehörde nach Satz 1 ihren Sitz hat. Für das Verfahren gelten die Vorschriften des Gesetzes über das Verfahren in Familiensachen und in den Angelegenheiten der freiwilligen Gerichtsbarkeit entsprechend.</w:t>
      </w:r>
    </w:p>
    <w:p>
      <w:r>
        <w:t xml:space="preserve">(3a) Maßnahmen nach Absatz 2 Nummer 4, die sich gegen eine bestimmte Person richten oder bei denen der Verdeckte Ermittler eine Wohnung betritt, die nicht allgemein zugänglich ist, dürfen nur durch das Gericht angeordnet werden. Bei Gefahr im Verzug dürfen Maßnahmen nach Satz 1 durch den Präsidenten des Bundespolizeipräsidiums, seinen Vertreter oder durch den Leiter einer Abteilung des Bundespolizeipräsidiums angeordnet werden. In diesem Fall ist die gerichtliche Entscheidung unverzüglich nachzuholen. Soweit die Anordnung nicht binnen drei Tagen durch das Gericht bestätigt wird, tritt sie außer Kraft. Die Anordnung ist unter Angabe der maßgeblichen Gründe aktenkundig zu machen und auf höchstens drei Monate zu befristen. Die Verlängerung einer Maßnahme um jeweils einen Monat ist bei erneuter Anordnung durch ein Gericht möglich. Zuständig ist das Amtsgericht, in dessen Bezirk das Bundespolizeipräsidium seinen Sitz hat. Absatz 3 Satz 6 gilt entsprechend.</w:t>
      </w:r>
    </w:p>
    <w:p>
      <w:r>
        <w:t xml:space="preserve">(4) Unterlagen, die durch Maßnahmen der in Absatz 2 genannten Art erlangt worden sind, sind unverzüglich zu vernichten, soweit sie für den der Anordnung zugrunde liegenden Zweck oder nach Maßgabe der Strafprozeßordnung zur Verfolgung einer Straftat nicht oder nicht mehr erforderlich sind.</w:t>
      </w:r>
    </w:p>
    <w:p>
      <w:r>
        <w:t xml:space="preserve">(5) Nach Abschluß der in Absatz 2 Nr. 1 und 2 Buchstabe b bezeichneten Maßnahmen ist die Person, gegen die die Maßnahme angeordnet worden ist, zu unterrichten, sobald dies ohne Gefährdung des Zwecks der Maßnahme oder der öffentlichen Sicherheit geschehen kann. Die Unterrichtung durch die Bundespolizei unterbleibt, wenn wegen des auslösenden Sachverhalts ein strafrechtliches Ermittlungsverfahren gegen den Betroffenen durchgeführt wird und durch die Unterrichtung der Untersuchungszweck gefährdet würde; die Entscheidung trifft die Staatsanwaltschaft.</w:t>
      </w:r>
    </w:p>
    <w:p>
      <w:r>
        <w:t xml:space="preserve">(6) Verdeckte Ermittler dürfen unter einer Legende</w:t>
      </w:r>
    </w:p>
    <w:p>
      <w:pPr>
        <w:ind w:left="420"/>
      </w:pPr>
      <w:r>
        <w:t xml:space="preserve">1. zur Erfüllung ihres Auftrages am Rechtsverkehr teilnehmen und</w:t>
      </w:r>
    </w:p>
    <w:p>
      <w:pPr>
        <w:ind w:left="420"/>
      </w:pPr>
      <w:r>
        <w:t xml:space="preserve">2. mit Einverständnis des Berechtigten dessen Wohnung betreten; das Einverständnis darf nicht durch ein über die Nutzung der Legende hinausgehendes Vortäuschen eines Zutrittsrechts herbeigeführt werden.</w:t>
      </w:r>
    </w:p>
    <w:p>
      <w:r>
        <w:t xml:space="preserve">Soweit es für den Aufbau und die Aufrechterhaltung der Legende von Verdeckten Ermittlern unerlässlich ist, dürfen entsprechende Urkunden hergestellt, verändert oder gebraucht werden.</w:t>
      </w:r>
    </w:p>
    <w:p>
      <w:r>
        <w:t xml:space="preserve">(7) Über eine Maßnahme nach Absatz 2 Nummer 4 sind zu benachrichtigen</w:t>
      </w:r>
    </w:p>
    <w:p>
      <w:pPr>
        <w:ind w:left="420"/>
      </w:pPr>
      <w:r>
        <w:t xml:space="preserve">1. die Zielperson,</w:t>
      </w:r>
    </w:p>
    <w:p>
      <w:pPr>
        <w:ind w:left="420"/>
      </w:pPr>
      <w:r>
        <w:t xml:space="preserve">2. die erheblich mitbetroffenen Personen sowie</w:t>
      </w:r>
    </w:p>
    <w:p>
      <w:pPr>
        <w:ind w:left="420"/>
      </w:pPr>
      <w:r>
        <w:t xml:space="preserve">3. die Personen, deren nicht allgemein zugängliche Wohnung der Verdeckte Ermittler betreten hat.</w:t>
      </w:r>
    </w:p>
    <w:p>
      <w:r>
        <w:t xml:space="preserve">Die Benachrichtigung unterbleibt, wenn ihr überwiegende schutzwürdige Belange einer betroffenen Person entgegenstehen. Nachforschungen zur Feststellung der Identität einer in Satz 1 bezeichneten Person sind nur vorzunehmen, wenn dies unter Berücksichtigung der Eingriffsintensität der Maßnahme gegenüber dieser Person, des Aufwands für die Feststellung ihrer Identität sowie der daraus für diese oder andere Personen folgenden Beeinträchtigungen geboten ist.</w:t>
      </w:r>
    </w:p>
    <w:p>
      <w:r>
        <w:t xml:space="preserve">(8) Die Benachrichtigung über eine Maßnahme nach Absatz 2 Nummer 4 erfolgt, sobald dies möglich ist ohne Gefährdung</w:t>
      </w:r>
    </w:p>
    <w:p>
      <w:pPr>
        <w:ind w:left="420"/>
      </w:pPr>
      <w:r>
        <w:t xml:space="preserve">1. des Zwecks der Maßnahme,</w:t>
      </w:r>
    </w:p>
    <w:p>
      <w:pPr>
        <w:ind w:left="420"/>
      </w:pPr>
      <w:r>
        <w:t xml:space="preserve">2. des Bestandes des Staates,</w:t>
      </w:r>
    </w:p>
    <w:p>
      <w:pPr>
        <w:ind w:left="420"/>
      </w:pPr>
      <w:r>
        <w:t xml:space="preserve">3. von Leib, Leben oder Freiheit einer Person,</w:t>
      </w:r>
    </w:p>
    <w:p>
      <w:pPr>
        <w:ind w:left="420"/>
      </w:pPr>
      <w:r>
        <w:t xml:space="preserve">4. von Sachen von bedeutendem Wert, deren Erhaltung im öffentlichen Interesse geboten ist, oder</w:t>
      </w:r>
    </w:p>
    <w:p>
      <w:pPr>
        <w:ind w:left="420"/>
      </w:pPr>
      <w:r>
        <w:t xml:space="preserve">5. der Möglichkeit der weiteren Verwendung des Verdeckten Ermittlers.</w:t>
      </w:r>
    </w:p>
    <w:p>
      <w:r>
        <w:t xml:space="preserve">Wird wegen des zugrunde liegenden Sachverhaltes ein strafrechtliches Ermittlungsverfahren geführt, erfolgt die Benachrichtigung durch die Strafverfolgungsbehörde entsprechend den Vorschriften des Strafverfahrensrechts. Wird die Benachrichtigung aus einem der vorgenannten Gründe zurückgestellt, ist dies aktenkundig zu machen.</w:t>
      </w:r>
    </w:p>
    <w:p>
      <w:r>
        <w:t xml:space="preserve">(9) Erfolgt die nach Absatz 8 zurückgestellte Benachrichtigung nicht binnen zwölf Monaten nach Beendigung der Maßnahme, bedarf die weitere Zurückstellung der gerichtlichen Zustimmung. Das Gericht bestimmt die Dauer der weiteren Zurückstellung, jedoch nicht länger als zwölf Monate. Verlängerungen der Zurückstellungsdauer sind zulässig. Fünf Jahre nach Beendigung der Maßnahme kann mit gerichtlicher Zustimmung endgültig von der Benachrichtigung abgesehen werden, wenn die Voraussetzungen für die Benachrichtigung mit an Sicherheit grenzender Wahrscheinlichkeit auch in Zukunft nicht eintreten werden.</w:t>
      </w:r>
    </w:p>
    <w:p>
      <w:r>
        <w:rPr>
          <w:color w:val="555555"/>
          <w:sz w:val="17"/>
        </w:rPr>
        <w:t xml:space="preserve">Zitiervorschlag: § 28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