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27b BGSG 1994 — Anlassbezogene automatische Kennzeichenerfassung</w:t>
      </w:r>
    </w:p>
    <w:p>
      <w:r>
        <w:rPr>
          <w:color w:val="555555"/>
          <w:sz w:val="18"/>
        </w:rPr>
        <w:t xml:space="preserve">Bundespolizeigesetz</w:t>
      </w:r>
    </w:p>
    <w:p>
      <w:r>
        <w:rPr>
          <w:color w:val="555555"/>
          <w:sz w:val="18"/>
        </w:rPr>
        <w:t xml:space="preserve">Stand: 10.06.2019 (konsolidierte Textfassung, kein amtliches Inkrafttretensdatum)</w:t>
      </w:r>
    </w:p>
    <w:p>
      <w:r>
        <w:t xml:space="preserve">(1) Die Bundespolizei kann zur Erfüllung ihrer Aufgaben nach § 2 Absatz 2 im öffentlichen Verkehrsraum vorübergehend und nicht flächendeckend die Kennzeichen von Fahrzeugen ohne Wissen der Person durch den Einsatz technischer Mittel automatisch erheben, wenn</w:t>
      </w:r>
    </w:p>
    <w:p>
      <w:pPr>
        <w:ind w:left="420"/>
      </w:pPr>
      <w:r>
        <w:t xml:space="preserve">1. dies zur Abwehr einer gegenwärtigen Gefahr für Leib, Leben oder Freiheit einer Person erforderlich ist,</w:t>
      </w:r>
    </w:p>
    <w:p>
      <w:pPr>
        <w:ind w:left="420"/>
      </w:pPr>
      <w:r>
        <w:t xml:space="preserve">2. dies auf Grund von tatsächlichen Anhaltspunkten für Straftaten von erheblicher Bedeutung, die gegen die Sicherheit der Grenze gerichtet sind, erfolgt oder</w:t>
      </w:r>
    </w:p>
    <w:p>
      <w:pPr>
        <w:ind w:left="420"/>
      </w:pPr>
      <w:r>
        <w:t xml:space="preserve">3. eine Person oder ein Fahrzeug durch die Bundespolizei oder eine andere Behörde ausgeschrieben wurde und die Begehung einer Straftat von erheblicher Bedeutung durch diese Person oder mittels des ausgeschriebenen Fahrzeugs unmittelbar bevorsteht oder andauert.</w:t>
      </w:r>
    </w:p>
    <w:p>
      <w:r>
        <w:t xml:space="preserve">(2) Die nach Absatz 1 erhobenen Daten können mit dem Fahndungsbestand nach § 34 Absatz 1 Satz 2 automatisch abgeglichen werden.</w:t>
      </w:r>
    </w:p>
    <w:p>
      <w:r>
        <w:t xml:space="preserve">(3) Im Trefferfall ist unverzüglich die Übereinstimmung zwischen den erfassten Daten und den Daten aus dem Fahndungsbestand zu überprüfen. Die übereinstimmenden Daten können verarbeitet und zusammen mit den gewonnenen Erkenntnissen an die ausschreibende Stelle übermittelt werden.</w:t>
      </w:r>
    </w:p>
    <w:p>
      <w:r>
        <w:t xml:space="preserve">(4) Liegt kein Treffer vor, sind die Daten sofort und spurenlos zu löschen.</w:t>
      </w:r>
    </w:p>
    <w:p>
      <w:r>
        <w:t xml:space="preserve">(5) Sofern der Abgleich der erhobenen Daten mit dem Fahndungsbestand nach § 34 Absatz 1 Satz 2 zwar einen Treffer ergibt, die Ausschreibung im Fahndungsbestand jedoch nicht im Zusammenhang mit der Verfolgung der Zwecke des Absatzes 1 Nummer 1 bis 3 steht, sind die Daten sofort und spurenlos zu löschen, es sei denn, sie werden benötigt, um die Begehung einer Straftat von erheblicher Bedeutung zu verfolgen.</w:t>
      </w:r>
    </w:p>
    <w:p>
      <w:r>
        <w:rPr>
          <w:color w:val="555555"/>
          <w:sz w:val="17"/>
        </w:rPr>
        <w:t xml:space="preserve">Zitiervorschlag: § 27b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https://recht.nulegal.eu/gesetze/BGSG%201994/27b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