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BGSG 1994 — Vorladung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Bundespolizei kann eine Person schriftlich oder mündlich vorladen, wenn</w:t>
      </w:r>
    </w:p>
    <w:p>
      <w:pPr>
        <w:ind w:left="420"/>
      </w:pPr>
      <w:r>
        <w:t xml:space="preserve">1. Tatsachen die Annahme rechtfertigen, daß die Person sachdienliche Angaben machen kann, die für die Erfüllung einer bestimmten der Bundespolizei obliegenden Aufgabe erforderlich sind, oder</w:t>
      </w:r>
    </w:p>
    <w:p>
      <w:pPr>
        <w:ind w:left="420"/>
      </w:pPr>
      <w:r>
        <w:t xml:space="preserve">2. dies zur Durchführung erkennungsdienstlicher Maßnahmen erforderlich ist.</w:t>
      </w:r>
    </w:p>
    <w:p>
      <w:r>
        <w:t xml:space="preserve">(2) Bei der Vorladung ist deren Grund anzugeben. Bei der Festsetzung des Zeitpunkts soll auf den Beruf und die sonstigen Lebensverhältnisse des Betroffenen Rücksicht genommen werden.</w:t>
      </w:r>
    </w:p>
    <w:p>
      <w:r>
        <w:t xml:space="preserve">(3) Leistet ein Betroffener der Vorladung ohne hinreichenden Grund keine Folge, kann sie zwangsweise durchgesetzt werden, wenn</w:t>
      </w:r>
    </w:p>
    <w:p>
      <w:pPr>
        <w:ind w:left="420"/>
      </w:pPr>
      <w:r>
        <w:t xml:space="preserve">1. die Angaben zur Abwehr einer Gefahr für Leib, Leben oder Freiheit einer Person erforderlich sind, oder</w:t>
      </w:r>
    </w:p>
    <w:p>
      <w:pPr>
        <w:ind w:left="420"/>
      </w:pPr>
      <w:r>
        <w:t xml:space="preserve">2. dies zur Durchführung erkennungsdienstlicher Maßnahmen erforderlich ist.</w:t>
      </w:r>
    </w:p>
    <w:p>
      <w:r>
        <w:t xml:space="preserve">(4) Für die Entschädigung oder Vergütung von Personen, die auf Vorladung als Zeugen erscheinen oder die als Sachverständige herangezogen werden, gilt das Justizvergütungs- und -entschädigungsgesetz entsprechend.</w:t>
      </w:r>
    </w:p>
    <w:p>
      <w:r>
        <w:rPr>
          <w:color w:val="555555"/>
          <w:sz w:val="17"/>
        </w:rPr>
        <w:t xml:space="preserve">Zitiervorschlag: § 25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