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22a BGSG 1994 — Bestandsdatenauskunft</w:t>
      </w:r>
    </w:p>
    <w:p>
      <w:r>
        <w:rPr>
          <w:color w:val="555555"/>
          <w:sz w:val="18"/>
        </w:rPr>
        <w:t xml:space="preserve">Bundespolizeigesetz</w:t>
      </w:r>
    </w:p>
    <w:p>
      <w:r>
        <w:rPr>
          <w:color w:val="555555"/>
          <w:sz w:val="18"/>
        </w:rPr>
        <w:t xml:space="preserve">Stand: 17.05.2024 (konsolidierte Textfassung, kein amtliches Inkrafttretensdatum)</w:t>
      </w:r>
    </w:p>
    <w:p>
      <w:r>
        <w:t xml:space="preserve">(1) Die Bundespolizei darf Auskunft verlangen</w:t>
      </w:r>
    </w:p>
    <w:p>
      <w:pPr>
        <w:ind w:left="420"/>
      </w:pPr>
      <w:r>
        <w:t xml:space="preserve">1. über Bestandsdaten gemäß § 3 Nummer 6 des Telekommunikationsgesetzes und über die nach § 172 des Telekommunikationsgesetzes erhobenen Daten (§ 174 Absatz 1 Satz 1 des Telekommunikationsgesetzes) von demjenigen, der geschäftsmäßig Telekommunikationsdienste erbringt oder daran mitwirkt, und</w:t>
      </w:r>
    </w:p>
    <w:p>
      <w:pPr>
        <w:ind w:left="420"/>
      </w:pPr>
      <w:r>
        <w:t xml:space="preserve">2. über Bestandsdaten gemäß § 2 Absatz 2 Nummer 2 des Telekommunikation-Digitale-Dienste-Datenschutz-Gesetzes (§ 22 Absatz 1 Satz 1 und § 23 Absatz 1 Satz 1 des Telekommunikation-Digitale-Dienste-Datenschutz-Gesetzes) von demjenigen, der geschäftsmäßig eigene oder fremde digitale Dienste nach § 1 Absatz 4 Nummer 1 des Digitale-Dienste-Gesetzes zur Nutzung bereithält oder den Zugang zur Nutzung vermittelt.</w:t>
      </w:r>
    </w:p>
    <w:p>
      <w:r>
        <w:t xml:space="preserve">Die Auskunft nach Satz 1 darf nur verlangt werden, soweit die zu erhebenden Daten im Einzelfall erforderlich sind</w:t>
      </w:r>
    </w:p>
    <w:p>
      <w:pPr>
        <w:ind w:left="420"/>
      </w:pPr>
      <w:r>
        <w:t xml:space="preserve">1. zur Abwehr einer Gefahr für die öffentliche Sicherheit oder</w:t>
      </w:r>
    </w:p>
    <w:p>
      <w:pPr>
        <w:ind w:left="420"/>
      </w:pPr>
      <w:r>
        <w:t xml:space="preserve">2. zum Schutz von Leib, Leben, Freiheit sowie sexueller Selbstbestimmung der Person, dem Bestand und der Sicherheit des Bundes oder eines Landes, der freiheitlich demokratischen Grundordnung, Gütern der Allgemeinheit, deren Bedrohung die Grundlagen der Existenz der Menschen berührt sowie nicht unerheblichen Sachwerten, wenn Tatsachen den Schluss auf ein wenigstens seiner Art nach konkretisiertes und zeitlich absehbares Geschehen zulassen, an dem bestimmte Personen beteiligt sein werden, oder</w:t>
      </w:r>
    </w:p>
    <w:p>
      <w:pPr>
        <w:ind w:left="420"/>
      </w:pPr>
      <w:r>
        <w:t xml:space="preserve">3. zum Schutz von Leib, Leben, Freiheit sowie sexueller Selbstbestimmung der Person,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sie eine Straftat gegen ein solches Rechtsgut in einem übersehbaren Zeitraum begehen wird.</w:t>
      </w:r>
    </w:p>
    <w:p>
      <w:r>
        <w:t xml:space="preserve">(2) Bezieht sich das Auskunftsverlangen nach Absatz 1 auf Daten nach § 174 Absatz 1 Satz 2 des Telekommunikationsgesetzes, mittels derer der Zugriff auf Endgeräte oder auf Speichereinrichtungen, die in diesen Endgeräten oder hiervon räumlich getrennt eingesetzt werden, geschützt wird, darf die Auskunft nur verlangt werden, wenn im Einzelfall die gesetzlichen Voraussetzungen für die Nutzung der Daten vorliegen. Bezieht sich das Auskunftsverlangen nach Absatz 1 auf nach als Bestandsdaten erhobene Passwörter oder auf andere Daten, mittels derer der Zugriff auf Endgeräte oder auf Speichereinrichtungen, die in diesen Endgeräten oder hiervon räumlich getrennt eingesetzt werden, geschützt wird (§ 23 Absatz 1 Satz 1 des Telekommunikation-Digitale-Dienste-Datenschutz-Gesetzes), darf die Auskunft nur verlangt werden zur Abwehr einer konkreten Gefahr für Leib, Leben, Freiheit oder die sexuelle Selbstbestimmung einer Person oder für den Bestand des Bundes oder eines Landes sowie Güter der Allgemeinheit, deren Bedrohung die Grundlagen der Existenz der Menschen berührt, und wenn die gesetzlichen Voraussetzungen für die Nutzung der Daten vorliegen. Auskunftsverlangen nach den Sätzen 1 und 2 dürfen nur auf Antrag des Präsidenten des Bundespolizeipräsidiums, seines Vertreters oder des Leiters einer Abteilung des Bundespolizeipräsidiums durch das Gericht angeordnet werden. Bei Gefahr im Verzug kann die Anordnung durch die Präsidentin oder den Präsidenten des Bundespolizeipräsidiums oder ihre oder seine Vertretung getroffen werden. In diesem Fall ist die gerichtliche Entscheidung unverzüglich nachzuholen. In den Fällen des Satzes 1 ist Satz 3 nicht anzuwenden, wenn</w:t>
      </w:r>
    </w:p>
    <w:p>
      <w:pPr>
        <w:ind w:left="420"/>
      </w:pPr>
      <w:r>
        <w:t xml:space="preserve">1. die betroffene Person vom Auskunftsverlangen bereits Kenntnis hat oder haben muss oder</w:t>
      </w:r>
    </w:p>
    <w:p>
      <w:pPr>
        <w:ind w:left="420"/>
      </w:pPr>
      <w:r>
        <w:t xml:space="preserve">2. die Verarbeitung der Daten bereits durch eine gerichtliche Entscheidung gestattet wird.</w:t>
      </w:r>
    </w:p>
    <w:p>
      <w:r>
        <w:t xml:space="preserve">Das Vorliegen der Voraussetzungen nach Satz 4 ist aktenkundig zu machen. Zuständig ist das Amtsgericht, in dessen Bezirk das Bundespolizeipräsidium seinen Sitz hat. Für das Verfahren gelten die Vorschriften des Gesetzes über das Verfahren in Familiensachen und in den Angelegenheiten der freiwilligen Gerichtsbarkeit entsprechend. Werden der Bundespolizei aufgrund eines Auskunftsersuchens nach Satz 2 Passwörter oder andere Daten unverschlüsselt beauskunftet, so informiert die Bundespolizei hierüber die jeweils zuständige Datenschutzaufsichtsbehörde.</w:t>
      </w:r>
    </w:p>
    <w:p>
      <w:r>
        <w:t xml:space="preserve">(3) Die Auskunft nach den Absätzen 1 und 2 darf auch anhand einer zu einem bestimmten Zeitpunkt zugewiesenen Internetprotokoll-Adresse verlangt werden (§ 174 Absatz 1 Satz 3, § 177 Absatz 1 Nummer 3 des Telekommunikationsgesetzes und § 22 Absatz 1 Satz 3 und 4 des Telekommunikation-Digitale-Dienste-Datenschutz-Gesetzes) in den Fällen von</w:t>
      </w:r>
    </w:p>
    <w:p>
      <w:pPr>
        <w:ind w:left="420"/>
      </w:pPr>
      <w:r>
        <w:t xml:space="preserve">1. Absatz 1 Satz 2 Nummer 1 zum Schutz von Leib, Leben, Freiheit oder sexueller Selbstbestimmung der Person, dem Bestand und der Sicherheit des Bundes oder eines Landes, der freiheitlich demokratischen Grundordnung, Gütern der Allgemeinheit, deren Bedrohung die Grundlagen der Existenz der Menschen berührt, sowie nicht unerheblicher Sachwerte oder zur Verhütung einer Straftat oder</w:t>
      </w:r>
    </w:p>
    <w:p>
      <w:pPr>
        <w:ind w:left="420"/>
      </w:pPr>
      <w:r>
        <w:t xml:space="preserve">2. Absatz 1 Satz 2 Nummer 2 und 3 zum Schutz von Leib, Leben, Freiheit oder sexueller Selbstbestimmung der Person, dem Bestand und der Sicherheit des Bundes oder eines Landes, der freiheitlich demokratischen Grundordnung sowie Gütern der Allgemeinheit, deren Bedrohung die Grundlagen der Existenz der Menschen berührt.</w:t>
      </w:r>
    </w:p>
    <w:p>
      <w:r>
        <w:t xml:space="preserve">Absatz 2 Satz 2 bleibt unberührt. Die Auskunft nach den Absätzen 1 und 2 anhand einer zu einem bestimmten Zeitpunkt zugewiesenen Internetprotokoll-Adresse nach § 22 Absatz 1 Satz 3 und 4 des Telekommunikation-Digitale-Dienste-Datenschutz-Gesetzes darf darüber hinaus nur verlangt werden, wenn tatsächliche Anhaltspunkte dafür vorliegen, dass die betroffene Person Nutzer des digitalen Dienstes ist, bei dem die Daten erhoben werden sollen. Die rechtlichen und tatsächlichen Grundlagen des Auskunftsverlangens sind aktenkundig zu machen.</w:t>
      </w:r>
    </w:p>
    <w:p>
      <w:r>
        <w:t xml:space="preserve">(4) Die betroffene Person ist in den Fällen der Absätze 2 und 3 über die Auskunftserteilung zu benachrichtigen. Die Benachrichtigung erfolgt, soweit und sobald hierdurch der Zweck der Auskunft nicht vereitelt wird. Die Benachrichtigung unterbleibt, wenn ihr überwiegende schutzwürdige Belange Dritter oder der betroffenen Person selbst entgegenstehen. Wird die Benachrichtigung nach Satz 2 zurückgestellt oder nach Satz 3 von ihr abgesehen, sind die Gründe aktenkundig zu machen.</w:t>
      </w:r>
    </w:p>
    <w:p>
      <w:r>
        <w:t xml:space="preserve">(5) Der auf Grund eines Auskunftsverlangens Verpflichtete hat die zur Auskunftserteilung erforderlichen Daten unverzüglich und vollständig zu übermitteln.</w:t>
      </w:r>
    </w:p>
    <w:p>
      <w:r>
        <w:t xml:space="preserve">(6) Die Bundespolizei hat den Verpflichteten für ihr erteilte Auskünfte eine Entschädigung zu gewähren. Der Umfang der Entschädigung bemisst sich nach § 23 und Anlage 3 des Justizvergütungs-und -entschädigungsgesetzes; die Vorschriften über die Verjährung in § 2 Absatz 1 und 4 des Justizvergütungs- und -entschädigungsgesetzes finden entsprechend Anwendung.</w:t>
      </w:r>
    </w:p>
    <w:p>
      <w:r>
        <w:rPr>
          <w:color w:val="555555"/>
          <w:sz w:val="17"/>
        </w:rPr>
        <w:t xml:space="preserve">Zitiervorschlag: § 22a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https://recht.nulegal.eu/gesetze/BGSG%201994/22a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