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BGSG 1994 — Erhebung personenbezogener Daten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sofern in diesem Abschnitt nichts anderes bestimmt ist, personenbezogene Daten erheben, soweit dies zur Erfüllung einer ihr obliegenden Aufgabe erforderlich ist.</w:t>
      </w:r>
    </w:p>
    <w:p>
      <w:r>
        <w:t xml:space="preserve">(2) Zur Verhütung von Straftaten ist eine Erhebung personenbezogener Daten nur zulässig, soweit Tatsachen die Annahme rechtfertigen, daß</w:t>
      </w:r>
    </w:p>
    <w:p>
      <w:pPr>
        <w:ind w:left="420"/>
      </w:pPr>
      <w:r>
        <w:t xml:space="preserve">1. die Person Straftaten im Sinne des § 12 Abs. 1 mit erheblicher Bedeutung begehen will und die Daten zur Verhütung solcher Straftaten erforderlich sind oder</w:t>
      </w:r>
    </w:p>
    <w:p>
      <w:pPr>
        <w:ind w:left="420"/>
      </w:pPr>
      <w:r>
        <w:t xml:space="preserve">2. die Person mit einer in Nummer 1 genannten Person in einer Weise in Verbindung steht oder eine solche Verbindung hergestellt wird, die erwarten läßt, daß die Maßnahme zur Verhütung von Straftaten im Sinne der Nummer 1 führen wird und dies auf andere Weise aussichtslos oder wesentlich erschwert wäre.</w:t>
      </w:r>
    </w:p>
    <w:p>
      <w:r>
        <w:t xml:space="preserve">(3) Personenbezogene Daten sind offen und beim Betroffenen zu erheben. Sie können bei anderen öffentlichen oder bei nicht-öffentlichen Stellen erhoben werden, wenn die Erhebung beim Betroffenen nicht möglich ist oder durch sie die Erfüllung der der Bundespolizei obliegenden Aufgaben gefährdet oder erheblich erschwert würde. Eine Datenerhebung, die nicht als Maßnahme der Bundespolizei erkennbar sein soll, ist nur zulässig, wenn auf andere Weise die Erfüllung der der Bundespolizei obliegenden Aufgaben erheblich gefährdet wird oder wenn anzunehmen ist, daß dies dem überwiegenden Interesse der betroffenen Person entspricht.</w:t>
      </w:r>
    </w:p>
    <w:p>
      <w:r>
        <w:t xml:space="preserve">(4) Werden personenbezogene Daten beim Betroffenen oder bei nicht-öffentlichen Stellen erhoben, sind diese auf Verlangen auf den Umfang ihrer Auskunftspflicht und auf die Rechtsgrundlage der Datenerhebung hinzuweisen. Der Hinweis kann unterbleiben, wenn durch ihn die Erfüllung der Aufgaben der Bundespolizei gefährdet oder erheblich erschwert würde. Sofern eine Auskunftspflicht nicht besteht, ist auf die Freiwilligkeit der Auskunft hinzuweisen.</w:t>
      </w:r>
    </w:p>
    <w:p>
      <w:r>
        <w:rPr>
          <w:color w:val="555555"/>
          <w:sz w:val="17"/>
        </w:rPr>
        <w:t xml:space="preserve">Zitiervorschlag: § 21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