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BGSG 1994 — Verantwortlichkeit für das Verhalten von Tieren oder den Zustand von Sachen</w:t>
      </w:r>
    </w:p>
    <w:p>
      <w:r>
        <w:rPr>
          <w:color w:val="555555"/>
          <w:sz w:val="18"/>
        </w:rPr>
        <w:t xml:space="preserve">Bundespolizeigesetz</w:t>
      </w:r>
    </w:p>
    <w:p>
      <w:r>
        <w:rPr>
          <w:color w:val="555555"/>
          <w:sz w:val="18"/>
        </w:rPr>
        <w:t xml:space="preserve">Stand: 10.06.2019 (konsolidierte Textfassung, kein amtliches Inkrafttretensdatum)</w:t>
      </w:r>
    </w:p>
    <w:p>
      <w:r>
        <w:t xml:space="preserve">(1) Geht von einem Tier oder einer Sache eine Gefahr aus, so sind die Maßnahmen gegen den Inhaber der tatsächlichen Gewalt zu richten. Die nachfolgenden für Sachen geltenden Vorschriften sind auf Tiere entsprechend anzuwenden.</w:t>
      </w:r>
    </w:p>
    <w:p>
      <w:r>
        <w:t xml:space="preserve">(2) Maßnahmen können auch gegen den Eigentümer oder einen anderen Berechtigten gerichtet werden. Dies gilt nicht, wenn der Inhaber der tatsächlichen Gewalt diese ohne den Willen des Eigentümers oder Berechtigten ausübt.</w:t>
      </w:r>
    </w:p>
    <w:p>
      <w:r>
        <w:t xml:space="preserve">(3) Geht die Gefahr von einer herrenlosen Sache aus, so können die Maßnahmen gegen denjenigen gerichtet werden, der das Eigentum an der Sache aufgegeben hat.</w:t>
      </w:r>
    </w:p>
    <w:p>
      <w:r>
        <w:rPr>
          <w:color w:val="555555"/>
          <w:sz w:val="17"/>
        </w:rPr>
        <w:t xml:space="preserve">Zitiervorschlag: § 18 BGSG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https://recht.nulegal.eu/gesetze/BGSG%201994/18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