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BGSG 1994 — Verfolgung und Ahndung von Ordnungswidrigkeiten</w:t>
      </w:r>
    </w:p>
    <w:p>
      <w:r>
        <w:rPr>
          <w:color w:val="555555"/>
          <w:sz w:val="18"/>
        </w:rPr>
        <w:t xml:space="preserve">Bundespolizeigesetz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Bundespolizei nimmt im Rahmen der ihr obliegenden Aufgaben die polizeilichen Aufgaben nach dem Gesetz über Ordnungswidrigkeiten wahr. § 12 Abs. 2 Satz 1 und 2 sowie Abs. 4 gilt entsprechend.</w:t>
      </w:r>
    </w:p>
    <w:p>
      <w:r>
        <w:t xml:space="preserve">(2) Verwaltungsbehörde im Sinne des § 36 Abs. 1 Nr. 1 des Gesetzes über Ordnungswidrigkeiten ist für Ordnungswidrigkeiten nach den §§ 111 und 113 des Gesetzes über Ordnungswidrigkeiten, die im Aufgabenbereich der Bundespolizei begangen wurden, die in der Rechtsverordnung nach § 58 Abs. 1 bestimmte Bundespolizeibehörde.</w:t>
      </w:r>
    </w:p>
    <w:p>
      <w:r>
        <w:t xml:space="preserve">(3) Die durch oder auf Grund anderer Bundesgesetze übertragene Zuständigkeit von Bundespolizeibehörden für die Verfolgung und Ahndung von Ordnungswidrigkeiten als Verwaltungsbehörde im Sinne des § 36 Abs. 1 Nr. 1 und 2 des Gesetzes über Ordnungswidrigkeiten bleibt unberührt.</w:t>
      </w:r>
    </w:p>
    <w:p>
      <w:r>
        <w:t xml:space="preserve">(4) Die Beamten im Polizeivollzugsdienst der Bundespolizei, die mindestens vier Jahre dem Polizeivollzugsdienst angehören, sind im Rahmen ihrer Aufgaben ermächtigt, Verwarnungen zu erteilen und Verwarnungsgelder zu erheben.</w:t>
      </w:r>
    </w:p>
    <w:p>
      <w:r>
        <w:rPr>
          <w:color w:val="555555"/>
          <w:sz w:val="17"/>
        </w:rPr>
        <w:t xml:space="preserve">Zitiervorschlag: § 13 BGSG 1994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https://recht.nulegal.eu/gesetze/BGSG%201994/13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