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Eingangsformel BGSBDODAnO 1999</w:t>
      </w:r>
    </w:p>
    <w:p>
      <w:r>
        <w:rPr>
          <w:color w:val="555555"/>
          <w:sz w:val="18"/>
        </w:rPr>
        <w:t xml:space="preserve">Anordnung zur Durchführung der Bundesdisziplinarordnung für den Bundesgrenzschutz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15 Abs. 2 Satz 1 und des § 29 Abs. 4 der Bundesdisziplinarordnung in der Fassung der Bekanntmachung vom 20. Juli 1967 (BGBl. I S. 750, 984) ordne ich an:</w:t>
      </w:r>
    </w:p>
    <w:p>
      <w:r>
        <w:rPr>
          <w:color w:val="555555"/>
          <w:sz w:val="17"/>
        </w:rPr>
        <w:t xml:space="preserve">Zitiervorschlag: Eingangsformel BGSBDODAnO 1999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https://recht.nulegal.eu/gesetze/BGSBDODAnO%201999/eingangsformel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Eingangsformel BGSBDODAnO 1999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