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BGSAAusglV</w:t>
      </w:r>
    </w:p>
    <w:p>
      <w:r>
        <w:rPr>
          <w:color w:val="555555"/>
          <w:sz w:val="18"/>
        </w:rPr>
        <w:t xml:space="preserve">Verordnung zur Festsetzung des Ausgleichs für die Erfüllung bahnpolizeilicher Aufgaben der Bundespolizei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2 Satz 2 des Bundesgrenzschutzgesetzes vom 19. Oktober 1994 (BGBl. I S. 2978, 2979), der durch Artikel 1 des Gesetzes vom 22. Dezember 1999 (BGBl. I S. 2534) eingefügt worden ist, verordnet das Bundesministerium des Innern im Einvernehmen mit dem Bundesministerium für Verkehr, Bau- und Wohnungswesen:</w:t>
      </w:r>
    </w:p>
    <w:p>
      <w:r>
        <w:rPr>
          <w:color w:val="555555"/>
          <w:sz w:val="17"/>
        </w:rPr>
        <w:t xml:space="preserve">Zitiervorschlag: Eingangsformel BGSAAusglV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https://recht.nulegal.eu/gesetze/BGSAAusglV/eingangsformel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