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BGHolzMetallDiszRZustAnO</w:t>
      </w:r>
    </w:p>
    <w:p>
      <w:r>
        <w:rPr>
          <w:color w:val="555555"/>
          <w:sz w:val="18"/>
        </w:rPr>
        <w:t xml:space="preserve">Anordnung über die Übertragung von Befugnissen auf dem Gebiet des Disziplinarrechts im Bereich der Berufsgenossenschaft Holz und Metall</w:t>
      </w:r>
    </w:p>
    <w:p>
      <w:r>
        <w:rPr>
          <w:color w:val="555555"/>
          <w:sz w:val="18"/>
        </w:rPr>
        <w:t xml:space="preserve">Stand: 19.01.2024 (konsolidierte Textfassung, kein amtliches Inkrafttretensdatum)</w:t>
      </w:r>
    </w:p>
    <w:p>
      <w:r>
        <w:t xml:space="preserve">Auf Grund des § 83 Absatz 1 des Bundesdisziplinargesetzes vom 9. Juli 2001 (BGBl. I S. 1510) in Verbindung mit § 1 Nummer 7 der Verordnung zur Durchführung des Bundesdisziplinargesetzes bei den bundesunmittelbaren Körperschaften mit Dienstherrnfähigkeit im Geschäftsbereich des Bundesministeriums für Arbeit und Soziales vom 13. Juli 2006 (BGBl. I S. 1584) wird folgende Anordnung erlassen:</w:t>
      </w:r>
    </w:p>
    <w:p>
      <w:r>
        <w:rPr>
          <w:color w:val="555555"/>
          <w:sz w:val="17"/>
        </w:rPr>
        <w:t xml:space="preserve">Zitiervorschlag: Eingangsformel BGHolzMetallDiszRZustAnO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https://recht.nulegal.eu/gesetze/BGHolzMetallDiszRZustAnO/eingangsformel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