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BGHWidVertrAnO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Richterinnen und Richtern sowie Beamtinnen und Beamten des Bundesgerichtshofs in Angelegenheiten der Besoldung</w:t>
      </w:r>
    </w:p>
    <w:p>
      <w:r>
        <w:rPr>
          <w:color w:val="555555"/>
          <w:sz w:val="18"/>
        </w:rPr>
        <w:t xml:space="preserve">Stand: 09.11.2022 (konsolidierte Textfassung, kein amtliches Inkrafttretensdatum)</w:t>
      </w:r>
    </w:p>
    <w:p>
      <w:r>
        <w:t xml:space="preserve">Nach § 126 Absatz 3 Satz 2 und § 127 Absatz 3 Satz 1 des Bundesbeamtengesetzes vom 5. Februar 2009 (BGBl. I S. 160) in Verbindung mit § 46 des Deutschen Richtergesetzes vom 19. April 1972 (BGBl. I S. 713) ordnet das Bundesministerium der Justiz an:</w:t>
      </w:r>
    </w:p>
    <w:p>
      <w:r>
        <w:rPr>
          <w:color w:val="555555"/>
          <w:sz w:val="17"/>
        </w:rPr>
        <w:t xml:space="preserve">Zitiervorschlag: Eingangsformel BGHWidVertrAnO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https://recht.nulegal.eu/gesetze/BGHWidVertrAnO/eingangsformel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