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BGG — Zielvereinbarungen</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Soweit nicht besondere gesetzliche oder verordnungsrechtliche Vorschriften entgegenstehen, sollen zur Herstellung der Barrierefreiheit Zielvereinbarungen zwischen Verbänden, die nach § 15 Absatz 3 anerkannt sind, und Unternehmen oder Unternehmensverbänden der verschiedenen Wirtschaftsbranchen für ihren jeweiligen sachlichen und räumlichen Organisations- oder Tätigkeitsbereich getroffen werden. Die anerkannten Verbände können die Aufnahme von Verhandlungen über Zielvereinbarungen verlangen.</w:t>
      </w:r>
    </w:p>
    <w:p>
      <w:r>
        <w:t xml:space="preserve">(2) Zielvereinbarungen zur Herstellung von Barrierefreiheit enthalten insbesondere</w:t>
      </w:r>
    </w:p>
    <w:p>
      <w:pPr>
        <w:ind w:left="420"/>
      </w:pPr>
      <w:r>
        <w:t xml:space="preserve">1. die Bestimmung der Vereinbarungspartner und sonstige Regelungen zum Geltungsbereich und zur Geltungsdauer,</w:t>
      </w:r>
    </w:p>
    <w:p>
      <w:pPr>
        <w:ind w:left="420"/>
      </w:pPr>
      <w:r>
        <w:t xml:space="preserve">2. die Festlegung von Mindestbedingungen darüber, wie gestaltete Lebensbereiche im Sinne von § 4 künftig zu verändern sind, um dem Anspruch von Menschen mit Behinderungen auf Auffindbarkeit, Zugang und Nutzung zu genügen,</w:t>
      </w:r>
    </w:p>
    <w:p>
      <w:pPr>
        <w:ind w:left="420"/>
      </w:pPr>
      <w:r>
        <w:t xml:space="preserve">3. den Zeitpunkt oder einen Zeitplan zur Erfüllung der festgelegten Mindestbedingungen.</w:t>
      </w:r>
    </w:p>
    <w:p>
      <w:r>
        <w:t xml:space="preserve">Sie können ferner eine Vertragsstrafenabrede für den Fall der Nichterfüllung oder des Verzugs enthalten.</w:t>
      </w:r>
    </w:p>
    <w:p>
      <w:r>
        <w:t xml:space="preserve">(3) Ein Verband nach Absatz 1, der die Aufnahme von Verhandlungen verlangt, hat dies gegenüber dem Zielvereinbarungsregister (Absatz 5) unter Benennung von Verhandlungsparteien und Verhandlungsgegenstand anzuzeigen. Das Bundesministerium für Arbeit und Soziales gibt diese Anzeige auf seiner Internetseite bekannt. Innerhalb von vier Wochen nach der Bekanntgabe haben andere Verbände im Sinne des Absatzes 1 das Recht, den Verhandlungen durch Erklärung gegenüber den bisherigen Verhandlungsparteien beizutreten. Nachdem die beteiligten Verbände von Menschen mit Behinderungen eine gemeinsame Verhandlungskommission gebildet haben oder feststeht, dass nur ein Verband verhandelt, sind die Verhandlungen innerhalb von vier Wochen aufzunehmen.</w:t>
      </w:r>
    </w:p>
    <w:p>
      <w:r>
        <w:t xml:space="preserve">(4) Ein Anspruch auf Verhandlungen nach Absatz 1 Satz 2 besteht nicht,</w:t>
      </w:r>
    </w:p>
    <w:p>
      <w:pPr>
        <w:ind w:left="420"/>
      </w:pPr>
      <w:r>
        <w:t xml:space="preserve">1. während laufender Verhandlungen im Sinne des Absatzes 3 für die nicht beigetretenen Verbände behinderter Menschen,</w:t>
      </w:r>
    </w:p>
    <w:p>
      <w:pPr>
        <w:ind w:left="420"/>
      </w:pPr>
      <w:r>
        <w:t xml:space="preserve">2. in Bezug auf diejenigen Unternehmen, die ankündigen, einer Zielvereinbarung beizutreten, über die von einem Unternehmensverband Verhandlungen geführt werden,</w:t>
      </w:r>
    </w:p>
    <w:p>
      <w:pPr>
        <w:ind w:left="420"/>
      </w:pPr>
      <w:r>
        <w:t xml:space="preserve">3. für den Geltungsbereich und die Geltungsdauer einer zustande gekommenen Zielvereinbarung,</w:t>
      </w:r>
    </w:p>
    <w:p>
      <w:pPr>
        <w:ind w:left="420"/>
      </w:pPr>
      <w:r>
        <w:t xml:space="preserve">4. in Bezug auf diejenigen Unternehmen, die einer zustande gekommenen Zielvereinbarung unter einschränkungsloser Übernahme aller Rechte und Pflichten beigetreten sind.</w:t>
      </w:r>
    </w:p>
    <w:p>
      <w:r>
        <w:t xml:space="preserve">(5) Das Bundesministerium für Arbeit und Soziales führt ein Zielvereinbarungsregister, in das der Abschluss, die Änderung und die Aufhebung von Zielvereinbarungen nach den Absätzen 1 und 2 eingetragen werden. Der die Zielvereinbarung abschließende Verband behinderter Menschen ist verpflichtet, innerhalb eines Monats nach Abschluss einer Zielvereinbarung dem Bundesministerium für Arbeit und Soziales diese als beglaubigte Abschrift und in informationstechnisch erfassbarer Form zu übersenden sowie eine Änderung oder Aufhebung innerhalb eines Monats mitzuteilen.</w:t>
      </w:r>
    </w:p>
    <w:p>
      <w:r>
        <w:rPr>
          <w:color w:val="555555"/>
          <w:sz w:val="17"/>
        </w:rPr>
        <w:t xml:space="preserve">Zitiervorschlag: § 5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