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12k BGG — Studie zur Untersuchung</w:t>
      </w:r>
    </w:p>
    <w:p>
      <w:r>
        <w:rPr>
          <w:color w:val="555555"/>
          <w:sz w:val="18"/>
        </w:rPr>
        <w:t xml:space="preserve">Behindertengleichstellungsgesetz</w:t>
      </w:r>
    </w:p>
    <w:p>
      <w:r>
        <w:rPr>
          <w:color w:val="555555"/>
          <w:sz w:val="18"/>
        </w:rPr>
        <w:t xml:space="preserve">Stand: 01.07.2021 (konsolidierte Textfassung, kein amtliches Inkrafttretensdatum)</w:t>
      </w:r>
    </w:p>
    <w:p>
      <w:r>
        <w:t xml:space="preserve">Das Bundesministerium für Arbeit und Soziales untersucht die Umsetzung und die Auswirkungen der §§ 12e bis 12l in den Jahren 2021 bis 2024. Im Rahmen dieser Studie können Ausgaben wie beispielsweise die Anschaffungs-, Ausbildungs- und Haltungskosten der in die Studie einbezogenen Mensch-Assistenzhund-Gemeinschaften getragen werden.</w:t>
      </w:r>
    </w:p>
    <w:p>
      <w:r>
        <w:rPr>
          <w:color w:val="555555"/>
          <w:sz w:val="17"/>
        </w:rPr>
        <w:t xml:space="preserve">Zitiervorschlag: § 12k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https://recht.nulegal.eu/gesetze/BGG/12k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