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12j BGG — Fachliche Stelle und Prüfer</w:t>
      </w:r>
    </w:p>
    <w:p>
      <w:r>
        <w:rPr>
          <w:color w:val="555555"/>
          <w:sz w:val="18"/>
        </w:rPr>
        <w:t xml:space="preserve">Behindertengleichstellungsgesetz</w:t>
      </w:r>
    </w:p>
    <w:p>
      <w:r>
        <w:rPr>
          <w:color w:val="555555"/>
          <w:sz w:val="18"/>
        </w:rPr>
        <w:t xml:space="preserve">Stand: 01.07.2021 (konsolidierte Textfassung, kein amtliches Inkrafttretensdatum)</w:t>
      </w:r>
    </w:p>
    <w:p>
      <w:r>
        <w:t xml:space="preserve">(1) Als fachliche Stelle dürfen nur Zertifizierungsstellen für Produkte, Prozesse und Dienstleistungen nach DIN EN ISO/IEC 17065:2013 tätig werden, die von einer nationalen Akkreditierungsstelle im Sinne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die durch die Verordnung (EU) 2019/1020 (ABl. L 169 vom 25.6.2019, S. 1) geändert worden ist, in der jeweils geltenden Fassung akkreditiert worden sind. Die Akkreditierung ist jeweils auf längstens fünf Jahre zu befristen. Das Bundesministerium für Arbeit und Soziales übt im Anwendungsbereich dieses Gesetzes die Aufsicht über die nationale Akkreditierungsstelle aus.</w:t>
      </w:r>
    </w:p>
    <w:p>
      <w:r>
        <w:t xml:space="preserve">(2) Als Prüfer dürfen nur Stellen, die Personen zertifizieren, nach DIN EN ISO/IEC 17024:2012[2] tätig werden, die von einer nationalen Akkreditierungsstelle im Sinne der Verordnung (EG) Nr. 765/2008 in der jeweils geltenden Fassung akkreditiert worden sind. Die Akkreditierung ist jeweils auf längstens fünf Jahre zu befristen. Ist der Prüfer zugleich als Ausbildungsstätte im Sinne von § 12i tätig, kann die Akkreditierung erteilt werden, wenn die Unabhängigkeitsanforderungen durch interne organisatorische Trennung und die Anforderungen gemäß Nummer 5.2.3 der DIN EN ISO/IEC 17024:2012 erfüllt werden. Die näheren Anforderungen an das Akkreditierungsverfahren ergeben sich aus der Verordnung gemäß § 12l.</w:t>
      </w:r>
    </w:p>
    <w:p>
      <w:r>
        <w:t xml:space="preserve">2 Amtlicher Hinweis: Die in § 12j Absatz 2 bezeichneten technischen Normen sind zu beziehen bei der Beuth Verlag GmbH, 10772 Berlin und in der Deutschen Nationalbibliothek archivmäßig gesichert, niedergelegt und einsehbar.</w:t>
      </w:r>
    </w:p>
    <w:p>
      <w:r>
        <w:rPr>
          <w:color w:val="555555"/>
          <w:sz w:val="17"/>
        </w:rPr>
        <w:t xml:space="preserve">Zitiervorschlag: § 12j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https://recht.nulegal.eu/gesetze/BGG/12j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